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7DBE" w:rsidRDefault="00AC6453" w:rsidP="00AC6453">
      <w:pPr>
        <w:tabs>
          <w:tab w:val="left" w:pos="1134"/>
        </w:tabs>
        <w:rPr>
          <w:rFonts w:ascii="Calibri" w:hAnsi="Calibri"/>
          <w:sz w:val="20"/>
          <w:szCs w:val="20"/>
          <w:lang w:val="sr-Cyrl-CS"/>
        </w:rPr>
      </w:pPr>
      <w:r>
        <w:t xml:space="preserve">                   </w:t>
      </w:r>
      <w:r w:rsidR="006D7DBE">
        <w:rPr>
          <w:rFonts w:ascii="Calibri" w:hAnsi="Calibri"/>
          <w:sz w:val="20"/>
          <w:szCs w:val="20"/>
          <w:lang w:val="sr-Cyrl-CS"/>
        </w:rPr>
        <w:t xml:space="preserve">На основу правоснажног Решења број 2. Ст. 21/2014 од 12.03.2015.  године Привредног суда у Крагујевцу у поступку стечаја над дужником </w:t>
      </w:r>
      <w:r w:rsidR="006D7DBE">
        <w:rPr>
          <w:rFonts w:ascii="Calibri" w:hAnsi="Calibri"/>
          <w:i/>
          <w:sz w:val="20"/>
          <w:szCs w:val="20"/>
          <w:lang w:val="sr-Cyrl-CS"/>
        </w:rPr>
        <w:t xml:space="preserve">Предузеће за производњу, услуге и промет „АНДРИЋ“ ДОО у стечају из Орашца,Аранђеловац. којим је утврђено да ће се даљи поступак наставити у правцу </w:t>
      </w:r>
      <w:r w:rsidR="006D7DBE">
        <w:rPr>
          <w:rFonts w:ascii="Calibri" w:hAnsi="Calibri"/>
          <w:sz w:val="20"/>
          <w:szCs w:val="20"/>
          <w:lang w:val="sr-Cyrl-CS"/>
        </w:rPr>
        <w:t xml:space="preserve">банкротства, сагласно члановима 131,132 и 133. став 1. Закона о стечају(„Службени гласник Републике </w:t>
      </w:r>
      <w:r w:rsidR="006D7DBE" w:rsidRPr="002F6751">
        <w:rPr>
          <w:rFonts w:asciiTheme="minorHAnsi" w:hAnsiTheme="minorHAnsi"/>
          <w:sz w:val="20"/>
          <w:szCs w:val="20"/>
          <w:lang w:val="sr-Cyrl-CS"/>
        </w:rPr>
        <w:t>Србије“број  104/2009</w:t>
      </w:r>
      <w:r w:rsidR="00A76BD9" w:rsidRPr="002F6751">
        <w:rPr>
          <w:rFonts w:ascii="Calibri" w:hAnsi="Calibri" w:cs="Arial"/>
          <w:i/>
          <w:sz w:val="20"/>
          <w:szCs w:val="20"/>
          <w:lang w:val="sr-Cyrl-CS"/>
        </w:rPr>
        <w:t xml:space="preserve">  </w:t>
      </w:r>
      <w:r w:rsidR="00A76BD9" w:rsidRPr="002F6751">
        <w:rPr>
          <w:rFonts w:ascii="Calibri" w:hAnsi="Calibri" w:cs="Arial"/>
          <w:sz w:val="20"/>
          <w:szCs w:val="20"/>
          <w:lang w:val="sr-Cyrl-CS"/>
        </w:rPr>
        <w:t xml:space="preserve">) </w:t>
      </w:r>
      <w:r w:rsidR="006D7DBE" w:rsidRPr="002F6751">
        <w:rPr>
          <w:rFonts w:asciiTheme="minorHAnsi" w:hAnsiTheme="minorHAnsi"/>
          <w:sz w:val="20"/>
          <w:szCs w:val="20"/>
          <w:lang w:val="sr-Cyrl-CS"/>
        </w:rPr>
        <w:t xml:space="preserve"> и Националним стандардом</w:t>
      </w:r>
      <w:r w:rsidR="006D7DBE">
        <w:rPr>
          <w:rFonts w:ascii="Calibri" w:hAnsi="Calibri"/>
          <w:sz w:val="20"/>
          <w:szCs w:val="20"/>
          <w:lang w:val="sr-Cyrl-CS"/>
        </w:rPr>
        <w:t xml:space="preserve"> број 5. о  начину и поступку уновчења имовине стечајног дужника(Службени гласник РС“број</w:t>
      </w:r>
      <w:r w:rsidR="002F6751">
        <w:rPr>
          <w:rFonts w:ascii="Calibri" w:hAnsi="Calibri"/>
          <w:sz w:val="20"/>
          <w:szCs w:val="20"/>
          <w:lang w:val="sr-Cyrl-CS"/>
        </w:rPr>
        <w:t xml:space="preserve"> 13/2010) </w:t>
      </w:r>
      <w:r w:rsidR="006D7DBE">
        <w:rPr>
          <w:rFonts w:ascii="Calibri" w:hAnsi="Calibri"/>
          <w:sz w:val="20"/>
          <w:szCs w:val="20"/>
          <w:lang w:val="sr-Cyrl-CS"/>
        </w:rPr>
        <w:t xml:space="preserve">стечајни управник стечајног дужника </w:t>
      </w:r>
    </w:p>
    <w:p w:rsidR="006D7DBE" w:rsidRDefault="006D7DBE" w:rsidP="006D7DBE">
      <w:pPr>
        <w:tabs>
          <w:tab w:val="left" w:pos="1134"/>
        </w:tabs>
        <w:ind w:firstLine="1134"/>
        <w:rPr>
          <w:rFonts w:ascii="Calibri" w:hAnsi="Calibri"/>
          <w:sz w:val="20"/>
          <w:szCs w:val="20"/>
          <w:lang w:val="sr-Cyrl-CS"/>
        </w:rPr>
      </w:pPr>
    </w:p>
    <w:p w:rsidR="006D7DBE" w:rsidRPr="00C660FD" w:rsidRDefault="006D7DBE" w:rsidP="00AC6453">
      <w:pPr>
        <w:tabs>
          <w:tab w:val="left" w:pos="1134"/>
        </w:tabs>
        <w:ind w:firstLine="1134"/>
        <w:jc w:val="center"/>
        <w:rPr>
          <w:rFonts w:asciiTheme="minorHAnsi" w:hAnsiTheme="minorHAnsi"/>
          <w:b/>
          <w:lang w:val="sr-Cyrl-CS"/>
        </w:rPr>
      </w:pPr>
      <w:r w:rsidRPr="00C660FD">
        <w:rPr>
          <w:rFonts w:asciiTheme="minorHAnsi" w:hAnsiTheme="minorHAnsi"/>
          <w:b/>
          <w:lang w:val="sr-Cyrl-CS"/>
        </w:rPr>
        <w:t>„АНДРИЋ“ДОО У СТЕЧАЈУ из Орашца</w:t>
      </w:r>
    </w:p>
    <w:p w:rsidR="006D7DBE" w:rsidRPr="00C660FD" w:rsidRDefault="006D7DBE" w:rsidP="00AC6453">
      <w:pPr>
        <w:tabs>
          <w:tab w:val="left" w:pos="1134"/>
        </w:tabs>
        <w:ind w:firstLine="1134"/>
        <w:jc w:val="center"/>
        <w:rPr>
          <w:rFonts w:asciiTheme="minorHAnsi" w:hAnsiTheme="minorHAnsi"/>
          <w:b/>
          <w:lang w:val="sr-Cyrl-CS"/>
        </w:rPr>
      </w:pPr>
    </w:p>
    <w:p w:rsidR="006D7DBE" w:rsidRPr="00C660FD" w:rsidRDefault="006D7DBE" w:rsidP="00AC6453">
      <w:pPr>
        <w:tabs>
          <w:tab w:val="left" w:pos="1134"/>
        </w:tabs>
        <w:ind w:firstLine="1134"/>
        <w:jc w:val="center"/>
        <w:rPr>
          <w:rFonts w:asciiTheme="minorHAnsi" w:hAnsiTheme="minorHAnsi"/>
          <w:b/>
          <w:lang w:val="sr-Cyrl-CS"/>
        </w:rPr>
      </w:pPr>
      <w:r w:rsidRPr="00C660FD">
        <w:rPr>
          <w:rFonts w:asciiTheme="minorHAnsi" w:hAnsiTheme="minorHAnsi"/>
          <w:b/>
          <w:lang w:val="sr-Cyrl-CS"/>
        </w:rPr>
        <w:t>ОГЛАШАВА</w:t>
      </w:r>
    </w:p>
    <w:p w:rsidR="00F24C4F" w:rsidRDefault="006D7DBE" w:rsidP="00F24C4F">
      <w:pPr>
        <w:tabs>
          <w:tab w:val="left" w:pos="1134"/>
        </w:tabs>
        <w:ind w:firstLine="1134"/>
        <w:jc w:val="center"/>
        <w:rPr>
          <w:rFonts w:asciiTheme="minorHAnsi" w:hAnsiTheme="minorHAnsi"/>
          <w:b/>
          <w:lang w:val="sr-Cyrl-CS"/>
        </w:rPr>
      </w:pPr>
      <w:r w:rsidRPr="00C660FD">
        <w:rPr>
          <w:rFonts w:asciiTheme="minorHAnsi" w:hAnsiTheme="minorHAnsi"/>
          <w:b/>
          <w:lang w:val="sr-Cyrl-CS"/>
        </w:rPr>
        <w:t>Продају имовине јавним прикупљањем понуда</w:t>
      </w:r>
    </w:p>
    <w:p w:rsidR="00F24C4F" w:rsidRDefault="00F24C4F" w:rsidP="00F24C4F">
      <w:pPr>
        <w:tabs>
          <w:tab w:val="left" w:pos="1134"/>
        </w:tabs>
        <w:ind w:firstLine="1134"/>
        <w:jc w:val="center"/>
        <w:rPr>
          <w:rFonts w:asciiTheme="minorHAnsi" w:hAnsiTheme="minorHAnsi"/>
          <w:b/>
          <w:lang w:val="sr-Cyrl-CS"/>
        </w:rPr>
      </w:pPr>
    </w:p>
    <w:p w:rsidR="006D7DBE" w:rsidRPr="00F24C4F" w:rsidRDefault="006D7DBE" w:rsidP="00F24C4F">
      <w:pPr>
        <w:tabs>
          <w:tab w:val="left" w:pos="1134"/>
        </w:tabs>
        <w:ind w:firstLine="1134"/>
        <w:jc w:val="center"/>
        <w:rPr>
          <w:rFonts w:asciiTheme="minorHAnsi" w:hAnsiTheme="minorHAnsi"/>
          <w:b/>
          <w:lang w:val="sr-Cyrl-CS"/>
        </w:rPr>
      </w:pPr>
      <w:r w:rsidRPr="00C660FD">
        <w:rPr>
          <w:rFonts w:asciiTheme="minorHAnsi" w:hAnsiTheme="minorHAnsi"/>
          <w:sz w:val="20"/>
          <w:szCs w:val="20"/>
          <w:lang w:val="sr-Cyrl-CS"/>
        </w:rPr>
        <w:t>Предмет продаје је непокретна имовина</w:t>
      </w:r>
      <w:r w:rsidR="00F24C4F">
        <w:rPr>
          <w:rFonts w:asciiTheme="minorHAnsi" w:hAnsiTheme="minorHAnsi"/>
          <w:sz w:val="20"/>
          <w:szCs w:val="20"/>
          <w:lang/>
        </w:rPr>
        <w:t xml:space="preserve"> стечајног дужника која се продаје као целина а</w:t>
      </w:r>
      <w:r w:rsidRPr="00C660FD">
        <w:rPr>
          <w:rFonts w:asciiTheme="minorHAnsi" w:hAnsiTheme="minorHAnsi"/>
          <w:sz w:val="20"/>
          <w:szCs w:val="20"/>
          <w:lang w:val="sr-Cyrl-CS"/>
        </w:rPr>
        <w:t xml:space="preserve"> коју чини:</w:t>
      </w:r>
    </w:p>
    <w:p w:rsidR="006D7DBE" w:rsidRPr="00C660FD" w:rsidRDefault="006D7DBE" w:rsidP="006D7DBE">
      <w:pPr>
        <w:tabs>
          <w:tab w:val="left" w:pos="1134"/>
        </w:tabs>
        <w:ind w:firstLine="1134"/>
        <w:rPr>
          <w:rFonts w:asciiTheme="minorHAnsi" w:hAnsiTheme="minorHAnsi"/>
          <w:sz w:val="20"/>
          <w:szCs w:val="20"/>
          <w:lang w:val="sr-Cyrl-CS"/>
        </w:rPr>
      </w:pPr>
    </w:p>
    <w:tbl>
      <w:tblPr>
        <w:tblStyle w:val="TableGrid"/>
        <w:tblW w:w="0" w:type="auto"/>
        <w:tblLook w:val="04A0"/>
      </w:tblPr>
      <w:tblGrid>
        <w:gridCol w:w="4518"/>
        <w:gridCol w:w="1260"/>
        <w:gridCol w:w="1980"/>
        <w:gridCol w:w="1818"/>
      </w:tblGrid>
      <w:tr w:rsidR="006D7DBE" w:rsidRPr="00C660FD" w:rsidTr="00F24C4F">
        <w:tc>
          <w:tcPr>
            <w:tcW w:w="4518" w:type="dxa"/>
          </w:tcPr>
          <w:p w:rsidR="006D7DBE" w:rsidRPr="00C660FD" w:rsidRDefault="006D7DBE" w:rsidP="006D7DBE">
            <w:pPr>
              <w:tabs>
                <w:tab w:val="left" w:pos="1134"/>
              </w:tabs>
              <w:rPr>
                <w:rFonts w:asciiTheme="minorHAnsi" w:hAnsiTheme="minorHAnsi"/>
                <w:b/>
                <w:sz w:val="20"/>
                <w:szCs w:val="20"/>
                <w:lang w:val="sr-Cyrl-CS"/>
              </w:rPr>
            </w:pPr>
            <w:r w:rsidRPr="00C660FD">
              <w:rPr>
                <w:rFonts w:asciiTheme="minorHAnsi" w:hAnsiTheme="minorHAnsi"/>
                <w:b/>
                <w:sz w:val="20"/>
                <w:szCs w:val="20"/>
                <w:lang w:val="sr-Cyrl-CS"/>
              </w:rPr>
              <w:t>НАЗИВ ОБЈЕКТА И АДРЕСА</w:t>
            </w:r>
          </w:p>
        </w:tc>
        <w:tc>
          <w:tcPr>
            <w:tcW w:w="1260" w:type="dxa"/>
          </w:tcPr>
          <w:p w:rsidR="006D7DBE" w:rsidRPr="00C660FD" w:rsidRDefault="006D7DBE" w:rsidP="006D7DBE">
            <w:pPr>
              <w:tabs>
                <w:tab w:val="left" w:pos="1134"/>
              </w:tabs>
              <w:rPr>
                <w:rFonts w:asciiTheme="minorHAnsi" w:hAnsiTheme="minorHAnsi"/>
                <w:b/>
                <w:sz w:val="20"/>
                <w:szCs w:val="20"/>
                <w:lang w:val="sr-Cyrl-CS"/>
              </w:rPr>
            </w:pPr>
            <w:r w:rsidRPr="00C660FD">
              <w:rPr>
                <w:rFonts w:asciiTheme="minorHAnsi" w:hAnsiTheme="minorHAnsi"/>
                <w:b/>
                <w:sz w:val="20"/>
                <w:szCs w:val="20"/>
                <w:lang w:val="sr-Cyrl-CS"/>
              </w:rPr>
              <w:t>ПОВРШИНА</w:t>
            </w:r>
          </w:p>
        </w:tc>
        <w:tc>
          <w:tcPr>
            <w:tcW w:w="1980" w:type="dxa"/>
          </w:tcPr>
          <w:p w:rsidR="006D7DBE" w:rsidRPr="00C660FD" w:rsidRDefault="006D7DBE" w:rsidP="006D7DBE">
            <w:pPr>
              <w:tabs>
                <w:tab w:val="left" w:pos="1134"/>
              </w:tabs>
              <w:rPr>
                <w:rFonts w:asciiTheme="minorHAnsi" w:hAnsiTheme="minorHAnsi"/>
                <w:b/>
                <w:sz w:val="20"/>
                <w:szCs w:val="20"/>
                <w:lang w:val="sr-Cyrl-CS"/>
              </w:rPr>
            </w:pPr>
            <w:r w:rsidRPr="00C660FD">
              <w:rPr>
                <w:rFonts w:asciiTheme="minorHAnsi" w:hAnsiTheme="minorHAnsi"/>
                <w:b/>
                <w:sz w:val="20"/>
                <w:szCs w:val="20"/>
                <w:lang w:val="sr-Cyrl-CS"/>
              </w:rPr>
              <w:t>ПРОЦЕЊЕНА ВРЕДНОСТ БЕЗ ПДВ-а</w:t>
            </w:r>
          </w:p>
        </w:tc>
        <w:tc>
          <w:tcPr>
            <w:tcW w:w="1818" w:type="dxa"/>
          </w:tcPr>
          <w:p w:rsidR="006D7DBE" w:rsidRPr="00C660FD" w:rsidRDefault="006D7DBE" w:rsidP="006D7DBE">
            <w:pPr>
              <w:tabs>
                <w:tab w:val="left" w:pos="1134"/>
              </w:tabs>
              <w:rPr>
                <w:rFonts w:asciiTheme="minorHAnsi" w:hAnsiTheme="minorHAnsi"/>
                <w:b/>
                <w:sz w:val="20"/>
                <w:szCs w:val="20"/>
                <w:lang w:val="sr-Cyrl-CS"/>
              </w:rPr>
            </w:pPr>
            <w:r w:rsidRPr="00C660FD">
              <w:rPr>
                <w:rFonts w:asciiTheme="minorHAnsi" w:hAnsiTheme="minorHAnsi"/>
                <w:b/>
                <w:sz w:val="20"/>
                <w:szCs w:val="20"/>
                <w:lang w:val="sr-Cyrl-CS"/>
              </w:rPr>
              <w:t xml:space="preserve">ИЗНОС ДЕПОЗИТА </w:t>
            </w:r>
          </w:p>
          <w:p w:rsidR="006D7DBE" w:rsidRPr="00C660FD" w:rsidRDefault="006D7DBE" w:rsidP="006D7DBE">
            <w:pPr>
              <w:tabs>
                <w:tab w:val="left" w:pos="1134"/>
              </w:tabs>
              <w:rPr>
                <w:rFonts w:asciiTheme="minorHAnsi" w:hAnsiTheme="minorHAnsi"/>
                <w:b/>
                <w:sz w:val="20"/>
                <w:szCs w:val="20"/>
                <w:lang w:val="sr-Cyrl-CS"/>
              </w:rPr>
            </w:pPr>
            <w:r w:rsidRPr="00C660FD">
              <w:rPr>
                <w:rFonts w:asciiTheme="minorHAnsi" w:hAnsiTheme="minorHAnsi"/>
                <w:b/>
                <w:sz w:val="20"/>
                <w:szCs w:val="20"/>
                <w:lang w:val="sr-Cyrl-CS"/>
              </w:rPr>
              <w:t>БЕЗ ПДВ-а(дин)</w:t>
            </w:r>
          </w:p>
        </w:tc>
      </w:tr>
      <w:tr w:rsidR="006D7DBE" w:rsidRPr="00C660FD" w:rsidTr="00F24C4F">
        <w:tc>
          <w:tcPr>
            <w:tcW w:w="4518" w:type="dxa"/>
          </w:tcPr>
          <w:p w:rsidR="006D7DBE" w:rsidRPr="00C660FD" w:rsidRDefault="006D7DBE" w:rsidP="00C660FD">
            <w:pPr>
              <w:tabs>
                <w:tab w:val="left" w:pos="1134"/>
              </w:tabs>
              <w:rPr>
                <w:rFonts w:asciiTheme="minorHAnsi" w:hAnsiTheme="minorHAnsi"/>
                <w:b/>
                <w:sz w:val="20"/>
                <w:szCs w:val="20"/>
                <w:lang w:val="sr-Cyrl-CS"/>
              </w:rPr>
            </w:pPr>
            <w:r w:rsidRPr="00C660FD">
              <w:rPr>
                <w:rFonts w:asciiTheme="minorHAnsi" w:hAnsiTheme="minorHAnsi"/>
                <w:b/>
                <w:sz w:val="20"/>
                <w:szCs w:val="20"/>
                <w:lang w:val="sr-Cyrl-CS"/>
              </w:rPr>
              <w:t>Посл</w:t>
            </w:r>
            <w:r w:rsidR="00E74D63" w:rsidRPr="00C660FD">
              <w:rPr>
                <w:rFonts w:asciiTheme="minorHAnsi" w:hAnsiTheme="minorHAnsi"/>
                <w:b/>
                <w:sz w:val="20"/>
                <w:szCs w:val="20"/>
                <w:lang w:val="sr-Cyrl-CS"/>
              </w:rPr>
              <w:t>овни простор у Орашцу,</w:t>
            </w:r>
            <w:r w:rsidRPr="00C660FD">
              <w:rPr>
                <w:rFonts w:asciiTheme="minorHAnsi" w:hAnsiTheme="minorHAnsi"/>
                <w:b/>
                <w:sz w:val="20"/>
                <w:szCs w:val="20"/>
                <w:lang w:val="sr-Cyrl-CS"/>
              </w:rPr>
              <w:t>који се састоји од:</w:t>
            </w:r>
          </w:p>
          <w:p w:rsidR="00935CC2" w:rsidRPr="00C660FD" w:rsidRDefault="00935CC2" w:rsidP="00C660FD">
            <w:pPr>
              <w:tabs>
                <w:tab w:val="left" w:pos="1134"/>
              </w:tabs>
              <w:rPr>
                <w:rFonts w:asciiTheme="minorHAnsi" w:hAnsiTheme="minorHAnsi"/>
                <w:b/>
                <w:sz w:val="20"/>
                <w:szCs w:val="20"/>
                <w:lang w:val="sr-Cyrl-CS"/>
              </w:rPr>
            </w:pPr>
          </w:p>
          <w:p w:rsidR="006D7DBE" w:rsidRPr="00C660FD" w:rsidRDefault="00A76BD9" w:rsidP="00C660FD">
            <w:pPr>
              <w:tabs>
                <w:tab w:val="left" w:pos="1134"/>
              </w:tabs>
              <w:rPr>
                <w:rFonts w:asciiTheme="minorHAnsi" w:hAnsiTheme="minorHAnsi"/>
                <w:b/>
                <w:sz w:val="20"/>
                <w:szCs w:val="20"/>
                <w:lang w:val="sr-Cyrl-CS"/>
              </w:rPr>
            </w:pPr>
            <w:r w:rsidRPr="00C660FD">
              <w:rPr>
                <w:rFonts w:asciiTheme="minorHAnsi" w:hAnsiTheme="minorHAnsi" w:cs="Arial"/>
                <w:b/>
                <w:sz w:val="20"/>
                <w:szCs w:val="20"/>
                <w:lang w:val="sr-Cyrl-CS"/>
              </w:rPr>
              <w:t>1</w:t>
            </w:r>
            <w:r w:rsidRPr="00C660FD">
              <w:rPr>
                <w:rFonts w:asciiTheme="minorHAnsi" w:hAnsiTheme="minorHAnsi" w:cs="Arial"/>
                <w:sz w:val="20"/>
                <w:szCs w:val="20"/>
                <w:lang w:val="sr-Cyrl-CS"/>
              </w:rPr>
              <w:t>.</w:t>
            </w:r>
            <w:r w:rsidR="00E74D63" w:rsidRPr="00C660FD">
              <w:rPr>
                <w:rFonts w:asciiTheme="minorHAnsi" w:hAnsiTheme="minorHAnsi" w:cs="Arial"/>
                <w:b/>
                <w:sz w:val="20"/>
                <w:szCs w:val="20"/>
                <w:lang w:val="sr-Cyrl-CS"/>
              </w:rPr>
              <w:t>ЗГРАДА ПОСЛОВНИХ УСЛУГА-МИНИ КЛАНИЦА СА РАДИОНИЦОМ ЗА ПРЕРАДУ МЕСА  која се налази на кат. парцели бр.2160/2 К.О.Орашац,потес:СЕЛО,површине 718</w:t>
            </w:r>
            <w:r w:rsidR="00B0321C">
              <w:rPr>
                <w:rFonts w:asciiTheme="minorHAnsi" w:hAnsiTheme="minorHAnsi" w:cs="Arial"/>
                <w:b/>
                <w:sz w:val="20"/>
                <w:szCs w:val="20"/>
                <w:lang w:val="sr-Cyrl-CS"/>
              </w:rPr>
              <w:t xml:space="preserve"> </w:t>
            </w:r>
            <w:r w:rsidRPr="00C660FD">
              <w:rPr>
                <w:rFonts w:asciiTheme="minorHAnsi" w:hAnsiTheme="minorHAnsi" w:cs="Arial"/>
                <w:b/>
                <w:sz w:val="20"/>
                <w:szCs w:val="20"/>
                <w:lang w:val="sr-Cyrl-CS"/>
              </w:rPr>
              <w:t>м2 са земљиште</w:t>
            </w:r>
            <w:r w:rsidR="00E74D63" w:rsidRPr="00C660FD">
              <w:rPr>
                <w:rFonts w:asciiTheme="minorHAnsi" w:hAnsiTheme="minorHAnsi" w:cs="Arial"/>
                <w:b/>
                <w:sz w:val="20"/>
                <w:szCs w:val="20"/>
                <w:lang w:val="sr-Cyrl-CS"/>
              </w:rPr>
              <w:t>м под објектима, правни статус:објекат има одобрење за употребу,врста земљишта :</w:t>
            </w:r>
            <w:r w:rsidRPr="00C660FD">
              <w:rPr>
                <w:rFonts w:asciiTheme="minorHAnsi" w:hAnsiTheme="minorHAnsi" w:cs="Arial"/>
                <w:b/>
                <w:sz w:val="20"/>
                <w:szCs w:val="20"/>
                <w:lang w:val="sr-Cyrl-CS"/>
              </w:rPr>
              <w:t xml:space="preserve"> грађевинско земљиште</w:t>
            </w:r>
            <w:r w:rsidR="00E74D63" w:rsidRPr="00C660FD">
              <w:rPr>
                <w:rFonts w:asciiTheme="minorHAnsi" w:hAnsiTheme="minorHAnsi" w:cs="Arial"/>
                <w:b/>
                <w:sz w:val="20"/>
                <w:szCs w:val="20"/>
                <w:lang w:val="sr-Cyrl-CS"/>
              </w:rPr>
              <w:t xml:space="preserve"> изван грађевинског подручја</w:t>
            </w:r>
            <w:r w:rsidRPr="00C660FD">
              <w:rPr>
                <w:rFonts w:asciiTheme="minorHAnsi" w:hAnsiTheme="minorHAnsi" w:cs="Arial"/>
                <w:b/>
                <w:sz w:val="20"/>
                <w:szCs w:val="20"/>
                <w:lang w:val="sr-Cyrl-CS"/>
              </w:rPr>
              <w:t>, врста права - сво</w:t>
            </w:r>
            <w:r w:rsidR="00E74D63" w:rsidRPr="00C660FD">
              <w:rPr>
                <w:rFonts w:asciiTheme="minorHAnsi" w:hAnsiTheme="minorHAnsi" w:cs="Arial"/>
                <w:b/>
                <w:sz w:val="20"/>
                <w:szCs w:val="20"/>
                <w:lang w:val="sr-Cyrl-CS"/>
              </w:rPr>
              <w:t>јина , облик својине  - приватна</w:t>
            </w:r>
            <w:r w:rsidRPr="00C660FD">
              <w:rPr>
                <w:rFonts w:asciiTheme="minorHAnsi" w:hAnsiTheme="minorHAnsi" w:cs="Arial"/>
                <w:b/>
                <w:sz w:val="20"/>
                <w:szCs w:val="20"/>
                <w:lang w:val="sr-Cyrl-CS"/>
              </w:rPr>
              <w:t xml:space="preserve"> ,носилац права  стечајни дужник, упис</w:t>
            </w:r>
            <w:r w:rsidR="00E74D63" w:rsidRPr="00C660FD">
              <w:rPr>
                <w:rFonts w:asciiTheme="minorHAnsi" w:hAnsiTheme="minorHAnsi" w:cs="Arial"/>
                <w:b/>
                <w:sz w:val="20"/>
                <w:szCs w:val="20"/>
                <w:lang w:val="sr-Cyrl-CS"/>
              </w:rPr>
              <w:t>ан у листу непокретности  бр.1670 К.О.Орашац с</w:t>
            </w:r>
            <w:r w:rsidR="00935CC2" w:rsidRPr="00C660FD">
              <w:rPr>
                <w:rFonts w:asciiTheme="minorHAnsi" w:hAnsiTheme="minorHAnsi" w:cs="Arial"/>
                <w:b/>
                <w:sz w:val="20"/>
                <w:szCs w:val="20"/>
                <w:lang w:val="sr-Cyrl-CS"/>
              </w:rPr>
              <w:t>,</w:t>
            </w:r>
            <w:r w:rsidR="00E74D63" w:rsidRPr="00C660FD">
              <w:rPr>
                <w:rFonts w:asciiTheme="minorHAnsi" w:hAnsiTheme="minorHAnsi" w:cs="Arial"/>
                <w:b/>
                <w:sz w:val="20"/>
                <w:szCs w:val="20"/>
                <w:lang w:val="sr-Cyrl-CS"/>
              </w:rPr>
              <w:t xml:space="preserve">а  обимом удела 1/1 , </w:t>
            </w:r>
            <w:r w:rsidR="00935CC2" w:rsidRPr="00C660FD">
              <w:rPr>
                <w:rFonts w:asciiTheme="minorHAnsi" w:hAnsiTheme="minorHAnsi" w:cs="Arial"/>
                <w:b/>
                <w:sz w:val="20"/>
                <w:szCs w:val="20"/>
                <w:lang w:val="sr-Cyrl-CS"/>
              </w:rPr>
              <w:t xml:space="preserve"> спратност објекта је Пр+Сп</w:t>
            </w:r>
            <w:r w:rsidRPr="00C660FD">
              <w:rPr>
                <w:rFonts w:asciiTheme="minorHAnsi" w:hAnsiTheme="minorHAnsi" w:cs="Arial"/>
                <w:b/>
                <w:sz w:val="20"/>
                <w:szCs w:val="20"/>
                <w:lang w:val="sr-Cyrl-CS"/>
              </w:rPr>
              <w:t>+Пк, а по</w:t>
            </w:r>
            <w:r w:rsidR="00935CC2" w:rsidRPr="00C660FD">
              <w:rPr>
                <w:rFonts w:asciiTheme="minorHAnsi" w:hAnsiTheme="minorHAnsi" w:cs="Arial"/>
                <w:b/>
                <w:sz w:val="20"/>
                <w:szCs w:val="20"/>
                <w:lang w:val="sr-Cyrl-CS"/>
              </w:rPr>
              <w:t xml:space="preserve">вршина  под објектом  износи 466 </w:t>
            </w:r>
            <w:r w:rsidRPr="00C660FD">
              <w:rPr>
                <w:rFonts w:asciiTheme="minorHAnsi" w:hAnsiTheme="minorHAnsi" w:cs="Arial"/>
                <w:b/>
                <w:sz w:val="20"/>
                <w:szCs w:val="20"/>
                <w:lang w:val="sr-Cyrl-CS"/>
              </w:rPr>
              <w:t>м2.</w:t>
            </w:r>
          </w:p>
        </w:tc>
        <w:tc>
          <w:tcPr>
            <w:tcW w:w="1260" w:type="dxa"/>
          </w:tcPr>
          <w:p w:rsidR="00935CC2" w:rsidRPr="00C660FD" w:rsidRDefault="00935CC2" w:rsidP="00C660FD">
            <w:pPr>
              <w:tabs>
                <w:tab w:val="left" w:pos="1134"/>
              </w:tabs>
              <w:jc w:val="center"/>
              <w:rPr>
                <w:rFonts w:asciiTheme="minorHAnsi" w:hAnsiTheme="minorHAnsi"/>
                <w:sz w:val="20"/>
                <w:szCs w:val="20"/>
                <w:lang w:val="sr-Cyrl-CS"/>
              </w:rPr>
            </w:pPr>
          </w:p>
          <w:p w:rsidR="00935CC2" w:rsidRPr="00C660FD" w:rsidRDefault="00935CC2" w:rsidP="00C660FD">
            <w:pPr>
              <w:tabs>
                <w:tab w:val="left" w:pos="1134"/>
              </w:tabs>
              <w:jc w:val="center"/>
              <w:rPr>
                <w:rFonts w:asciiTheme="minorHAnsi" w:hAnsiTheme="minorHAnsi"/>
                <w:sz w:val="20"/>
                <w:szCs w:val="20"/>
                <w:lang w:val="sr-Cyrl-CS"/>
              </w:rPr>
            </w:pPr>
          </w:p>
          <w:p w:rsidR="006D7DBE" w:rsidRPr="00C660FD" w:rsidRDefault="00E74D63" w:rsidP="00C660FD">
            <w:pPr>
              <w:tabs>
                <w:tab w:val="left" w:pos="1134"/>
              </w:tabs>
              <w:jc w:val="center"/>
              <w:rPr>
                <w:rFonts w:asciiTheme="minorHAnsi" w:hAnsiTheme="minorHAnsi"/>
                <w:sz w:val="20"/>
                <w:szCs w:val="20"/>
                <w:lang w:val="sr-Cyrl-CS"/>
              </w:rPr>
            </w:pPr>
            <w:r w:rsidRPr="00C660FD">
              <w:rPr>
                <w:rFonts w:asciiTheme="minorHAnsi" w:hAnsiTheme="minorHAnsi"/>
                <w:sz w:val="20"/>
                <w:szCs w:val="20"/>
                <w:lang w:val="sr-Cyrl-CS"/>
              </w:rPr>
              <w:t>718 м2</w:t>
            </w:r>
          </w:p>
        </w:tc>
        <w:tc>
          <w:tcPr>
            <w:tcW w:w="1980" w:type="dxa"/>
          </w:tcPr>
          <w:p w:rsidR="006D7DBE" w:rsidRPr="00C660FD" w:rsidRDefault="006D7DBE" w:rsidP="00C660FD">
            <w:pPr>
              <w:tabs>
                <w:tab w:val="left" w:pos="1134"/>
              </w:tabs>
              <w:jc w:val="center"/>
              <w:rPr>
                <w:rFonts w:asciiTheme="minorHAnsi" w:hAnsiTheme="minorHAnsi"/>
                <w:sz w:val="20"/>
                <w:szCs w:val="20"/>
                <w:lang w:val="sr-Cyrl-CS"/>
              </w:rPr>
            </w:pPr>
          </w:p>
        </w:tc>
        <w:tc>
          <w:tcPr>
            <w:tcW w:w="1818" w:type="dxa"/>
          </w:tcPr>
          <w:p w:rsidR="006D7DBE" w:rsidRPr="00C660FD" w:rsidRDefault="006D7DBE" w:rsidP="00C660FD">
            <w:pPr>
              <w:tabs>
                <w:tab w:val="left" w:pos="1134"/>
              </w:tabs>
              <w:jc w:val="center"/>
              <w:rPr>
                <w:rFonts w:asciiTheme="minorHAnsi" w:hAnsiTheme="minorHAnsi"/>
                <w:sz w:val="20"/>
                <w:szCs w:val="20"/>
                <w:lang w:val="sr-Cyrl-CS"/>
              </w:rPr>
            </w:pPr>
          </w:p>
        </w:tc>
      </w:tr>
      <w:tr w:rsidR="00935CC2" w:rsidRPr="00C660FD" w:rsidTr="00F24C4F">
        <w:tc>
          <w:tcPr>
            <w:tcW w:w="4518" w:type="dxa"/>
          </w:tcPr>
          <w:p w:rsidR="00935CC2" w:rsidRPr="00C660FD" w:rsidRDefault="00935CC2" w:rsidP="00C660FD">
            <w:pPr>
              <w:tabs>
                <w:tab w:val="left" w:pos="1134"/>
              </w:tabs>
              <w:rPr>
                <w:rFonts w:asciiTheme="minorHAnsi" w:hAnsiTheme="minorHAnsi"/>
                <w:b/>
                <w:sz w:val="20"/>
                <w:szCs w:val="20"/>
                <w:lang w:val="sr-Cyrl-CS"/>
              </w:rPr>
            </w:pPr>
          </w:p>
          <w:p w:rsidR="00935CC2" w:rsidRPr="00C660FD" w:rsidRDefault="00935CC2" w:rsidP="00C660FD">
            <w:pPr>
              <w:tabs>
                <w:tab w:val="left" w:pos="1134"/>
              </w:tabs>
              <w:rPr>
                <w:rFonts w:asciiTheme="minorHAnsi" w:hAnsiTheme="minorHAnsi"/>
                <w:b/>
                <w:sz w:val="20"/>
                <w:szCs w:val="20"/>
                <w:lang w:val="sr-Cyrl-CS"/>
              </w:rPr>
            </w:pPr>
            <w:r w:rsidRPr="00C660FD">
              <w:rPr>
                <w:rFonts w:asciiTheme="minorHAnsi" w:hAnsiTheme="minorHAnsi" w:cs="Arial"/>
                <w:b/>
                <w:sz w:val="20"/>
                <w:szCs w:val="20"/>
                <w:lang w:val="sr-Cyrl-CS"/>
              </w:rPr>
              <w:t>2</w:t>
            </w:r>
            <w:r w:rsidRPr="00C660FD">
              <w:rPr>
                <w:rFonts w:asciiTheme="minorHAnsi" w:hAnsiTheme="minorHAnsi" w:cs="Arial"/>
                <w:sz w:val="20"/>
                <w:szCs w:val="20"/>
                <w:lang w:val="sr-Cyrl-CS"/>
              </w:rPr>
              <w:t>.</w:t>
            </w:r>
            <w:r w:rsidRPr="00C660FD">
              <w:rPr>
                <w:rFonts w:asciiTheme="minorHAnsi" w:hAnsiTheme="minorHAnsi" w:cs="Arial"/>
                <w:b/>
                <w:sz w:val="20"/>
                <w:szCs w:val="20"/>
                <w:lang w:val="sr-Cyrl-CS"/>
              </w:rPr>
              <w:t>ДЕПО СТОКЕ  која се налази на кат. парцели бр.2160/2 К.О.Орашац,потес:СЕЛО,површине 135 м2 са земљиштем под објектима, правни статус:објекат има одобрење за употребу,врста земљишта : грађевинско земљиште изван грађевинског подручја, врста права - својина , облик својине  - приватна ,носилац права  стечајни дужник, уписан у листу непокретности  бр.1670 К.О.Орашац с,а  обимом удела 1/1 ,  спратност објекта је Пр, а површина  под објектом  износи 150 м2.</w:t>
            </w:r>
          </w:p>
        </w:tc>
        <w:tc>
          <w:tcPr>
            <w:tcW w:w="1260" w:type="dxa"/>
          </w:tcPr>
          <w:p w:rsidR="00C660FD" w:rsidRDefault="00C660FD" w:rsidP="00C660FD">
            <w:pPr>
              <w:tabs>
                <w:tab w:val="left" w:pos="1134"/>
              </w:tabs>
              <w:jc w:val="center"/>
              <w:rPr>
                <w:rFonts w:asciiTheme="minorHAnsi" w:hAnsiTheme="minorHAnsi"/>
                <w:sz w:val="20"/>
                <w:szCs w:val="20"/>
                <w:lang w:val="sr-Cyrl-CS"/>
              </w:rPr>
            </w:pPr>
          </w:p>
          <w:p w:rsidR="00C660FD" w:rsidRDefault="00C660FD" w:rsidP="00C660FD">
            <w:pPr>
              <w:tabs>
                <w:tab w:val="left" w:pos="1134"/>
              </w:tabs>
              <w:jc w:val="center"/>
              <w:rPr>
                <w:rFonts w:asciiTheme="minorHAnsi" w:hAnsiTheme="minorHAnsi"/>
                <w:sz w:val="20"/>
                <w:szCs w:val="20"/>
                <w:lang w:val="sr-Cyrl-CS"/>
              </w:rPr>
            </w:pPr>
          </w:p>
          <w:p w:rsidR="00935CC2" w:rsidRPr="00C660FD" w:rsidRDefault="00935CC2" w:rsidP="00C660FD">
            <w:pPr>
              <w:tabs>
                <w:tab w:val="left" w:pos="1134"/>
              </w:tabs>
              <w:jc w:val="center"/>
              <w:rPr>
                <w:rFonts w:asciiTheme="minorHAnsi" w:hAnsiTheme="minorHAnsi"/>
                <w:sz w:val="20"/>
                <w:szCs w:val="20"/>
                <w:lang w:val="sr-Cyrl-CS"/>
              </w:rPr>
            </w:pPr>
            <w:r w:rsidRPr="00C660FD">
              <w:rPr>
                <w:rFonts w:asciiTheme="minorHAnsi" w:hAnsiTheme="minorHAnsi"/>
                <w:sz w:val="20"/>
                <w:szCs w:val="20"/>
                <w:lang w:val="sr-Cyrl-CS"/>
              </w:rPr>
              <w:t>135 м2</w:t>
            </w:r>
          </w:p>
        </w:tc>
        <w:tc>
          <w:tcPr>
            <w:tcW w:w="1980" w:type="dxa"/>
          </w:tcPr>
          <w:p w:rsidR="00E00EBA" w:rsidRDefault="00E00EBA" w:rsidP="00C660FD">
            <w:pPr>
              <w:tabs>
                <w:tab w:val="left" w:pos="1134"/>
              </w:tabs>
              <w:jc w:val="center"/>
              <w:rPr>
                <w:rFonts w:asciiTheme="minorHAnsi" w:hAnsiTheme="minorHAnsi"/>
                <w:sz w:val="20"/>
                <w:szCs w:val="20"/>
                <w:lang w:val="sr-Cyrl-CS"/>
              </w:rPr>
            </w:pPr>
          </w:p>
          <w:p w:rsidR="00E00EBA" w:rsidRDefault="00E00EBA" w:rsidP="00C660FD">
            <w:pPr>
              <w:tabs>
                <w:tab w:val="left" w:pos="1134"/>
              </w:tabs>
              <w:jc w:val="center"/>
              <w:rPr>
                <w:rFonts w:asciiTheme="minorHAnsi" w:hAnsiTheme="minorHAnsi"/>
                <w:sz w:val="20"/>
                <w:szCs w:val="20"/>
                <w:lang w:val="sr-Cyrl-CS"/>
              </w:rPr>
            </w:pPr>
          </w:p>
          <w:p w:rsidR="00935CC2" w:rsidRPr="00C660FD" w:rsidRDefault="00935CC2" w:rsidP="00C660FD">
            <w:pPr>
              <w:tabs>
                <w:tab w:val="left" w:pos="1134"/>
              </w:tabs>
              <w:jc w:val="center"/>
              <w:rPr>
                <w:rFonts w:asciiTheme="minorHAnsi" w:hAnsiTheme="minorHAnsi"/>
                <w:sz w:val="20"/>
                <w:szCs w:val="20"/>
                <w:lang w:val="sr-Cyrl-CS"/>
              </w:rPr>
            </w:pPr>
          </w:p>
        </w:tc>
        <w:tc>
          <w:tcPr>
            <w:tcW w:w="1818" w:type="dxa"/>
          </w:tcPr>
          <w:p w:rsidR="00E00EBA" w:rsidRDefault="00E00EBA" w:rsidP="00C660FD">
            <w:pPr>
              <w:tabs>
                <w:tab w:val="left" w:pos="1134"/>
              </w:tabs>
              <w:jc w:val="center"/>
              <w:rPr>
                <w:rFonts w:asciiTheme="minorHAnsi" w:hAnsiTheme="minorHAnsi"/>
                <w:sz w:val="20"/>
                <w:szCs w:val="20"/>
                <w:lang w:val="sr-Cyrl-CS"/>
              </w:rPr>
            </w:pPr>
          </w:p>
          <w:p w:rsidR="00E00EBA" w:rsidRDefault="00E00EBA" w:rsidP="00C660FD">
            <w:pPr>
              <w:tabs>
                <w:tab w:val="left" w:pos="1134"/>
              </w:tabs>
              <w:jc w:val="center"/>
              <w:rPr>
                <w:rFonts w:asciiTheme="minorHAnsi" w:hAnsiTheme="minorHAnsi"/>
                <w:sz w:val="20"/>
                <w:szCs w:val="20"/>
                <w:lang w:val="sr-Cyrl-CS"/>
              </w:rPr>
            </w:pPr>
          </w:p>
          <w:p w:rsidR="00935CC2" w:rsidRPr="00C660FD" w:rsidRDefault="00935CC2" w:rsidP="00C660FD">
            <w:pPr>
              <w:tabs>
                <w:tab w:val="left" w:pos="1134"/>
              </w:tabs>
              <w:jc w:val="center"/>
              <w:rPr>
                <w:rFonts w:asciiTheme="minorHAnsi" w:hAnsiTheme="minorHAnsi"/>
                <w:sz w:val="20"/>
                <w:szCs w:val="20"/>
                <w:lang w:val="sr-Cyrl-CS"/>
              </w:rPr>
            </w:pPr>
          </w:p>
        </w:tc>
      </w:tr>
      <w:tr w:rsidR="00935CC2" w:rsidRPr="00C660FD" w:rsidTr="00F24C4F">
        <w:tc>
          <w:tcPr>
            <w:tcW w:w="4518" w:type="dxa"/>
          </w:tcPr>
          <w:p w:rsidR="00F24C4F" w:rsidRDefault="00F24C4F" w:rsidP="00C660FD">
            <w:pPr>
              <w:tabs>
                <w:tab w:val="left" w:pos="1134"/>
              </w:tabs>
              <w:rPr>
                <w:rFonts w:asciiTheme="minorHAnsi" w:hAnsiTheme="minorHAnsi"/>
                <w:b/>
                <w:sz w:val="20"/>
                <w:szCs w:val="20"/>
                <w:lang w:val="sr-Cyrl-CS"/>
              </w:rPr>
            </w:pPr>
          </w:p>
          <w:p w:rsidR="00935CC2" w:rsidRPr="00C660FD" w:rsidRDefault="00935CC2" w:rsidP="00C660FD">
            <w:pPr>
              <w:tabs>
                <w:tab w:val="left" w:pos="1134"/>
              </w:tabs>
              <w:rPr>
                <w:rFonts w:asciiTheme="minorHAnsi" w:hAnsiTheme="minorHAnsi"/>
                <w:b/>
                <w:sz w:val="20"/>
                <w:szCs w:val="20"/>
                <w:lang w:val="sr-Cyrl-CS"/>
              </w:rPr>
            </w:pPr>
            <w:r w:rsidRPr="00C660FD">
              <w:rPr>
                <w:rFonts w:asciiTheme="minorHAnsi" w:hAnsiTheme="minorHAnsi" w:cs="Arial"/>
                <w:b/>
                <w:sz w:val="20"/>
                <w:szCs w:val="20"/>
                <w:lang w:val="sr-Cyrl-CS"/>
              </w:rPr>
              <w:t>3</w:t>
            </w:r>
            <w:r w:rsidRPr="00C660FD">
              <w:rPr>
                <w:rFonts w:asciiTheme="minorHAnsi" w:hAnsiTheme="minorHAnsi" w:cs="Arial"/>
                <w:sz w:val="20"/>
                <w:szCs w:val="20"/>
                <w:lang w:val="sr-Cyrl-CS"/>
              </w:rPr>
              <w:t>.</w:t>
            </w:r>
            <w:r w:rsidRPr="00C660FD">
              <w:rPr>
                <w:rFonts w:asciiTheme="minorHAnsi" w:hAnsiTheme="minorHAnsi" w:cs="Arial"/>
                <w:b/>
                <w:sz w:val="20"/>
                <w:szCs w:val="20"/>
                <w:lang w:val="sr-Cyrl-CS"/>
              </w:rPr>
              <w:t>ГРАЂЕВИНСКО ЗЕМЉИШТЕ ИЗВАН ГРАЂЕВИНСКОГ ПОДРУЧЈА  која се налази на кат. парцели бр.2160/2 К.О.Орашац,потес:СЕЛО,</w:t>
            </w:r>
            <w:r w:rsidR="00F24C4F">
              <w:rPr>
                <w:rFonts w:asciiTheme="minorHAnsi" w:hAnsiTheme="minorHAnsi" w:cs="Arial"/>
                <w:b/>
                <w:sz w:val="20"/>
                <w:szCs w:val="20"/>
                <w:lang w:val="sr-Cyrl-CS"/>
              </w:rPr>
              <w:t>следећих карактерис</w:t>
            </w:r>
            <w:r w:rsidR="00C660FD" w:rsidRPr="00C660FD">
              <w:rPr>
                <w:rFonts w:asciiTheme="minorHAnsi" w:hAnsiTheme="minorHAnsi" w:cs="Arial"/>
                <w:b/>
                <w:sz w:val="20"/>
                <w:szCs w:val="20"/>
                <w:lang w:val="sr-Cyrl-CS"/>
              </w:rPr>
              <w:t xml:space="preserve">тика и то :укупне </w:t>
            </w:r>
            <w:r w:rsidRPr="00C660FD">
              <w:rPr>
                <w:rFonts w:asciiTheme="minorHAnsi" w:hAnsiTheme="minorHAnsi" w:cs="Arial"/>
                <w:b/>
                <w:sz w:val="20"/>
                <w:szCs w:val="20"/>
                <w:lang w:val="sr-Cyrl-CS"/>
              </w:rPr>
              <w:t xml:space="preserve">површине </w:t>
            </w:r>
            <w:r w:rsidR="00C660FD" w:rsidRPr="00C660FD">
              <w:rPr>
                <w:rFonts w:asciiTheme="minorHAnsi" w:hAnsiTheme="minorHAnsi" w:cs="Arial"/>
                <w:b/>
                <w:sz w:val="20"/>
                <w:szCs w:val="20"/>
                <w:lang w:val="sr-Cyrl-CS"/>
              </w:rPr>
              <w:lastRenderedPageBreak/>
              <w:t xml:space="preserve">земљишта </w:t>
            </w:r>
            <w:r w:rsidRPr="00C660FD">
              <w:rPr>
                <w:rFonts w:asciiTheme="minorHAnsi" w:hAnsiTheme="minorHAnsi" w:cs="Arial"/>
                <w:b/>
                <w:sz w:val="20"/>
                <w:szCs w:val="20"/>
                <w:lang w:val="sr-Cyrl-CS"/>
              </w:rPr>
              <w:t xml:space="preserve">3506 м2 </w:t>
            </w:r>
            <w:r w:rsidR="00C660FD" w:rsidRPr="00C660FD">
              <w:rPr>
                <w:rFonts w:asciiTheme="minorHAnsi" w:hAnsiTheme="minorHAnsi" w:cs="Arial"/>
                <w:b/>
                <w:sz w:val="20"/>
                <w:szCs w:val="20"/>
                <w:lang w:val="sr-Cyrl-CS"/>
              </w:rPr>
              <w:t xml:space="preserve">од чега </w:t>
            </w:r>
            <w:r w:rsidRPr="00C660FD">
              <w:rPr>
                <w:rFonts w:asciiTheme="minorHAnsi" w:hAnsiTheme="minorHAnsi" w:cs="Arial"/>
                <w:b/>
                <w:sz w:val="20"/>
                <w:szCs w:val="20"/>
                <w:lang w:val="sr-Cyrl-CS"/>
              </w:rPr>
              <w:t>са земљиштем под зградом-објектом 616 м2, земљиштем уз зграду 500 м2</w:t>
            </w:r>
            <w:r w:rsidR="00C660FD" w:rsidRPr="00C660FD">
              <w:rPr>
                <w:rFonts w:asciiTheme="minorHAnsi" w:hAnsiTheme="minorHAnsi" w:cs="Arial"/>
                <w:b/>
                <w:sz w:val="20"/>
                <w:szCs w:val="20"/>
                <w:lang w:val="sr-Cyrl-CS"/>
              </w:rPr>
              <w:t xml:space="preserve"> и њива 4.класе површине 2390м2</w:t>
            </w:r>
            <w:r w:rsidRPr="00C660FD">
              <w:rPr>
                <w:rFonts w:asciiTheme="minorHAnsi" w:hAnsiTheme="minorHAnsi" w:cs="Arial"/>
                <w:b/>
                <w:sz w:val="20"/>
                <w:szCs w:val="20"/>
                <w:lang w:val="sr-Cyrl-CS"/>
              </w:rPr>
              <w:t>,врста земљишта : грађевинско земљиште изван грађевинског подручја, врста права - својина , облик својине  - приватна ,носилац права  стечајни дужник, уписан у листу непо</w:t>
            </w:r>
            <w:r w:rsidR="00F24C4F">
              <w:rPr>
                <w:rFonts w:asciiTheme="minorHAnsi" w:hAnsiTheme="minorHAnsi" w:cs="Arial"/>
                <w:b/>
                <w:sz w:val="20"/>
                <w:szCs w:val="20"/>
                <w:lang w:val="sr-Cyrl-CS"/>
              </w:rPr>
              <w:t>кретности  бр.1670 К.О.Орашац с</w:t>
            </w:r>
            <w:r w:rsidRPr="00C660FD">
              <w:rPr>
                <w:rFonts w:asciiTheme="minorHAnsi" w:hAnsiTheme="minorHAnsi" w:cs="Arial"/>
                <w:b/>
                <w:sz w:val="20"/>
                <w:szCs w:val="20"/>
                <w:lang w:val="sr-Cyrl-CS"/>
              </w:rPr>
              <w:t>а  обимом удела 1/1</w:t>
            </w:r>
          </w:p>
        </w:tc>
        <w:tc>
          <w:tcPr>
            <w:tcW w:w="1260" w:type="dxa"/>
          </w:tcPr>
          <w:p w:rsidR="00C660FD" w:rsidRDefault="00C660FD" w:rsidP="00C660FD">
            <w:pPr>
              <w:tabs>
                <w:tab w:val="left" w:pos="1134"/>
              </w:tabs>
              <w:jc w:val="center"/>
              <w:rPr>
                <w:rFonts w:asciiTheme="minorHAnsi" w:hAnsiTheme="minorHAnsi"/>
                <w:sz w:val="20"/>
                <w:szCs w:val="20"/>
                <w:lang w:val="sr-Cyrl-CS"/>
              </w:rPr>
            </w:pPr>
          </w:p>
          <w:p w:rsidR="00C660FD" w:rsidRDefault="00C660FD" w:rsidP="00C660FD">
            <w:pPr>
              <w:tabs>
                <w:tab w:val="left" w:pos="1134"/>
              </w:tabs>
              <w:jc w:val="center"/>
              <w:rPr>
                <w:rFonts w:asciiTheme="minorHAnsi" w:hAnsiTheme="minorHAnsi"/>
                <w:sz w:val="20"/>
                <w:szCs w:val="20"/>
                <w:lang w:val="sr-Cyrl-CS"/>
              </w:rPr>
            </w:pPr>
          </w:p>
          <w:p w:rsidR="00935CC2" w:rsidRPr="00C660FD" w:rsidRDefault="00935CC2" w:rsidP="00C660FD">
            <w:pPr>
              <w:tabs>
                <w:tab w:val="left" w:pos="1134"/>
              </w:tabs>
              <w:jc w:val="center"/>
              <w:rPr>
                <w:rFonts w:asciiTheme="minorHAnsi" w:hAnsiTheme="minorHAnsi"/>
                <w:sz w:val="20"/>
                <w:szCs w:val="20"/>
                <w:lang w:val="sr-Cyrl-CS"/>
              </w:rPr>
            </w:pPr>
            <w:r w:rsidRPr="00C660FD">
              <w:rPr>
                <w:rFonts w:asciiTheme="minorHAnsi" w:hAnsiTheme="minorHAnsi"/>
                <w:sz w:val="20"/>
                <w:szCs w:val="20"/>
                <w:lang w:val="sr-Cyrl-CS"/>
              </w:rPr>
              <w:t>3506 м2</w:t>
            </w:r>
          </w:p>
        </w:tc>
        <w:tc>
          <w:tcPr>
            <w:tcW w:w="1980" w:type="dxa"/>
          </w:tcPr>
          <w:p w:rsidR="00935CC2" w:rsidRDefault="00935CC2" w:rsidP="00F24C4F">
            <w:pPr>
              <w:tabs>
                <w:tab w:val="left" w:pos="1134"/>
              </w:tabs>
              <w:rPr>
                <w:rFonts w:asciiTheme="minorHAnsi" w:hAnsiTheme="minorHAnsi"/>
                <w:sz w:val="20"/>
                <w:szCs w:val="20"/>
                <w:lang w:val="sr-Cyrl-CS"/>
              </w:rPr>
            </w:pPr>
          </w:p>
          <w:p w:rsidR="00F24C4F" w:rsidRDefault="00F24C4F" w:rsidP="00F24C4F">
            <w:pPr>
              <w:tabs>
                <w:tab w:val="left" w:pos="1134"/>
              </w:tabs>
              <w:rPr>
                <w:rFonts w:asciiTheme="minorHAnsi" w:hAnsiTheme="minorHAnsi"/>
                <w:sz w:val="20"/>
                <w:szCs w:val="20"/>
                <w:lang w:val="sr-Cyrl-CS"/>
              </w:rPr>
            </w:pPr>
          </w:p>
          <w:p w:rsidR="00F24C4F" w:rsidRPr="00C660FD" w:rsidRDefault="00F24C4F" w:rsidP="00F24C4F">
            <w:pPr>
              <w:tabs>
                <w:tab w:val="left" w:pos="1134"/>
              </w:tabs>
              <w:rPr>
                <w:rFonts w:asciiTheme="minorHAnsi" w:hAnsiTheme="minorHAnsi"/>
                <w:sz w:val="20"/>
                <w:szCs w:val="20"/>
                <w:lang w:val="sr-Cyrl-CS"/>
              </w:rPr>
            </w:pPr>
          </w:p>
        </w:tc>
        <w:tc>
          <w:tcPr>
            <w:tcW w:w="1818" w:type="dxa"/>
          </w:tcPr>
          <w:p w:rsidR="00935CC2" w:rsidRDefault="00935CC2" w:rsidP="00C660FD">
            <w:pPr>
              <w:tabs>
                <w:tab w:val="left" w:pos="1134"/>
              </w:tabs>
              <w:jc w:val="center"/>
              <w:rPr>
                <w:rFonts w:asciiTheme="minorHAnsi" w:hAnsiTheme="minorHAnsi"/>
                <w:sz w:val="20"/>
                <w:szCs w:val="20"/>
                <w:lang w:val="sr-Cyrl-CS"/>
              </w:rPr>
            </w:pPr>
          </w:p>
          <w:p w:rsidR="00F24C4F" w:rsidRDefault="00F24C4F" w:rsidP="00C660FD">
            <w:pPr>
              <w:tabs>
                <w:tab w:val="left" w:pos="1134"/>
              </w:tabs>
              <w:jc w:val="center"/>
              <w:rPr>
                <w:rFonts w:asciiTheme="minorHAnsi" w:hAnsiTheme="minorHAnsi"/>
                <w:sz w:val="20"/>
                <w:szCs w:val="20"/>
                <w:lang w:val="sr-Cyrl-CS"/>
              </w:rPr>
            </w:pPr>
          </w:p>
          <w:p w:rsidR="00F24C4F" w:rsidRPr="00C660FD" w:rsidRDefault="00F24C4F" w:rsidP="00C660FD">
            <w:pPr>
              <w:tabs>
                <w:tab w:val="left" w:pos="1134"/>
              </w:tabs>
              <w:jc w:val="center"/>
              <w:rPr>
                <w:rFonts w:asciiTheme="minorHAnsi" w:hAnsiTheme="minorHAnsi"/>
                <w:sz w:val="20"/>
                <w:szCs w:val="20"/>
                <w:lang w:val="sr-Cyrl-CS"/>
              </w:rPr>
            </w:pPr>
          </w:p>
        </w:tc>
      </w:tr>
      <w:tr w:rsidR="00E00EBA" w:rsidRPr="00C660FD" w:rsidTr="00F24C4F">
        <w:tc>
          <w:tcPr>
            <w:tcW w:w="4518" w:type="dxa"/>
          </w:tcPr>
          <w:p w:rsidR="00E00EBA" w:rsidRDefault="00E00EBA" w:rsidP="00C660FD">
            <w:pPr>
              <w:tabs>
                <w:tab w:val="left" w:pos="1134"/>
              </w:tabs>
              <w:rPr>
                <w:rFonts w:asciiTheme="minorHAnsi" w:hAnsiTheme="minorHAnsi"/>
                <w:b/>
                <w:sz w:val="20"/>
                <w:szCs w:val="20"/>
                <w:lang w:val="sr-Cyrl-CS"/>
              </w:rPr>
            </w:pPr>
            <w:r>
              <w:rPr>
                <w:rFonts w:asciiTheme="minorHAnsi" w:hAnsiTheme="minorHAnsi"/>
                <w:b/>
                <w:sz w:val="20"/>
                <w:szCs w:val="20"/>
                <w:lang w:val="sr-Cyrl-CS"/>
              </w:rPr>
              <w:lastRenderedPageBreak/>
              <w:t>УКУПНО:</w:t>
            </w:r>
          </w:p>
        </w:tc>
        <w:tc>
          <w:tcPr>
            <w:tcW w:w="1260" w:type="dxa"/>
          </w:tcPr>
          <w:p w:rsidR="00E00EBA" w:rsidRDefault="00E00EBA" w:rsidP="00C660FD">
            <w:pPr>
              <w:tabs>
                <w:tab w:val="left" w:pos="1134"/>
              </w:tabs>
              <w:jc w:val="center"/>
              <w:rPr>
                <w:rFonts w:asciiTheme="minorHAnsi" w:hAnsiTheme="minorHAnsi"/>
                <w:sz w:val="20"/>
                <w:szCs w:val="20"/>
                <w:lang w:val="sr-Cyrl-CS"/>
              </w:rPr>
            </w:pPr>
          </w:p>
        </w:tc>
        <w:tc>
          <w:tcPr>
            <w:tcW w:w="1980" w:type="dxa"/>
          </w:tcPr>
          <w:p w:rsidR="00E00EBA" w:rsidRDefault="00E00EBA" w:rsidP="00F24C4F">
            <w:pPr>
              <w:tabs>
                <w:tab w:val="left" w:pos="1134"/>
              </w:tabs>
              <w:rPr>
                <w:rFonts w:asciiTheme="minorHAnsi" w:hAnsiTheme="minorHAnsi"/>
                <w:sz w:val="20"/>
                <w:szCs w:val="20"/>
                <w:lang w:val="sr-Cyrl-CS"/>
              </w:rPr>
            </w:pPr>
            <w:r>
              <w:rPr>
                <w:rFonts w:asciiTheme="minorHAnsi" w:hAnsiTheme="minorHAnsi"/>
                <w:sz w:val="20"/>
                <w:szCs w:val="20"/>
                <w:lang w:val="sr-Cyrl-CS"/>
              </w:rPr>
              <w:t>28.082.452,00</w:t>
            </w:r>
          </w:p>
        </w:tc>
        <w:tc>
          <w:tcPr>
            <w:tcW w:w="1818" w:type="dxa"/>
          </w:tcPr>
          <w:p w:rsidR="00E00EBA" w:rsidRDefault="00E00EBA" w:rsidP="00C660FD">
            <w:pPr>
              <w:tabs>
                <w:tab w:val="left" w:pos="1134"/>
              </w:tabs>
              <w:jc w:val="center"/>
              <w:rPr>
                <w:rFonts w:asciiTheme="minorHAnsi" w:hAnsiTheme="minorHAnsi"/>
                <w:sz w:val="20"/>
                <w:szCs w:val="20"/>
                <w:lang w:val="sr-Cyrl-CS"/>
              </w:rPr>
            </w:pPr>
            <w:r>
              <w:rPr>
                <w:rFonts w:asciiTheme="minorHAnsi" w:hAnsiTheme="minorHAnsi"/>
                <w:sz w:val="20"/>
                <w:szCs w:val="20"/>
                <w:lang w:val="sr-Cyrl-CS"/>
              </w:rPr>
              <w:t>5.616.490,00</w:t>
            </w:r>
          </w:p>
        </w:tc>
      </w:tr>
    </w:tbl>
    <w:p w:rsidR="00C660FD" w:rsidRDefault="00C660FD" w:rsidP="00C660FD">
      <w:pPr>
        <w:tabs>
          <w:tab w:val="left" w:pos="1134"/>
        </w:tabs>
        <w:ind w:firstLine="1134"/>
        <w:jc w:val="center"/>
        <w:rPr>
          <w:rFonts w:ascii="Calibri" w:hAnsi="Calibri"/>
          <w:b/>
          <w:sz w:val="20"/>
          <w:szCs w:val="20"/>
          <w:lang w:val="sr-Cyrl-CS"/>
        </w:rPr>
      </w:pPr>
    </w:p>
    <w:p w:rsidR="006D7DBE" w:rsidRDefault="006D7DBE" w:rsidP="006D7DBE">
      <w:pPr>
        <w:tabs>
          <w:tab w:val="left" w:pos="1134"/>
        </w:tabs>
        <w:ind w:firstLine="1134"/>
        <w:rPr>
          <w:rFonts w:ascii="Calibri" w:hAnsi="Calibri"/>
          <w:b/>
          <w:sz w:val="20"/>
          <w:szCs w:val="20"/>
          <w:lang w:val="sr-Cyrl-CS"/>
        </w:rPr>
      </w:pPr>
      <w:r w:rsidRPr="00AC6453">
        <w:rPr>
          <w:rFonts w:ascii="Calibri" w:hAnsi="Calibri"/>
          <w:b/>
          <w:sz w:val="20"/>
          <w:szCs w:val="20"/>
          <w:lang w:val="sr-Cyrl-CS"/>
        </w:rPr>
        <w:t>НАПОМЕНА: Стечајни дужник је у систему ПДВ-а</w:t>
      </w:r>
    </w:p>
    <w:p w:rsidR="00C660FD" w:rsidRPr="00AC6453" w:rsidRDefault="00C660FD" w:rsidP="006D7DBE">
      <w:pPr>
        <w:tabs>
          <w:tab w:val="left" w:pos="1134"/>
        </w:tabs>
        <w:ind w:firstLine="1134"/>
        <w:rPr>
          <w:rFonts w:ascii="Calibri" w:hAnsi="Calibri"/>
          <w:b/>
          <w:sz w:val="20"/>
          <w:szCs w:val="20"/>
          <w:lang w:val="sr-Cyrl-CS"/>
        </w:rPr>
      </w:pPr>
    </w:p>
    <w:p w:rsidR="006D7DBE" w:rsidRDefault="006D7DBE" w:rsidP="006D7DBE">
      <w:pPr>
        <w:tabs>
          <w:tab w:val="left" w:pos="1134"/>
        </w:tabs>
        <w:ind w:firstLine="1134"/>
        <w:rPr>
          <w:rFonts w:ascii="Calibri" w:hAnsi="Calibri"/>
          <w:sz w:val="20"/>
          <w:szCs w:val="20"/>
          <w:lang w:val="sr-Cyrl-CS"/>
        </w:rPr>
      </w:pPr>
      <w:r>
        <w:rPr>
          <w:rFonts w:ascii="Calibri" w:hAnsi="Calibri"/>
          <w:sz w:val="20"/>
          <w:szCs w:val="20"/>
          <w:lang w:val="sr-Cyrl-CS"/>
        </w:rPr>
        <w:t>Процењена вредност није минимално прихватљива вредност,нити је на ма који други начин обавезујућа</w:t>
      </w:r>
      <w:r w:rsidR="000D057A">
        <w:rPr>
          <w:rFonts w:ascii="Calibri" w:hAnsi="Calibri"/>
          <w:sz w:val="20"/>
          <w:szCs w:val="20"/>
          <w:lang w:val="sr-Cyrl-CS"/>
        </w:rPr>
        <w:t xml:space="preserve"> или опредељујућа за понуђача прилико</w:t>
      </w:r>
      <w:r w:rsidR="002F6751">
        <w:rPr>
          <w:rFonts w:ascii="Calibri" w:hAnsi="Calibri"/>
          <w:sz w:val="20"/>
          <w:szCs w:val="20"/>
          <w:lang w:val="sr-Cyrl-CS"/>
        </w:rPr>
        <w:t>м</w:t>
      </w:r>
      <w:r w:rsidR="000D057A">
        <w:rPr>
          <w:rFonts w:ascii="Calibri" w:hAnsi="Calibri"/>
          <w:sz w:val="20"/>
          <w:szCs w:val="20"/>
          <w:lang w:val="sr-Cyrl-CS"/>
        </w:rPr>
        <w:t xml:space="preserve"> одређивања висине понуде.</w:t>
      </w:r>
    </w:p>
    <w:p w:rsidR="00C660FD" w:rsidRDefault="00C660FD" w:rsidP="006D7DBE">
      <w:pPr>
        <w:tabs>
          <w:tab w:val="left" w:pos="1134"/>
        </w:tabs>
        <w:ind w:firstLine="1134"/>
        <w:rPr>
          <w:rFonts w:ascii="Calibri" w:hAnsi="Calibri"/>
          <w:sz w:val="20"/>
          <w:szCs w:val="20"/>
          <w:lang w:val="sr-Cyrl-CS"/>
        </w:rPr>
      </w:pPr>
    </w:p>
    <w:p w:rsidR="009E0717" w:rsidRPr="00AC6453" w:rsidRDefault="009E0717" w:rsidP="006D7DBE">
      <w:pPr>
        <w:tabs>
          <w:tab w:val="left" w:pos="1134"/>
        </w:tabs>
        <w:ind w:firstLine="1134"/>
        <w:rPr>
          <w:rFonts w:ascii="Calibri" w:hAnsi="Calibri"/>
          <w:b/>
          <w:sz w:val="20"/>
          <w:szCs w:val="20"/>
          <w:lang w:val="sr-Cyrl-CS"/>
        </w:rPr>
      </w:pPr>
      <w:r w:rsidRPr="00AC6453">
        <w:rPr>
          <w:rFonts w:ascii="Calibri" w:hAnsi="Calibri"/>
          <w:b/>
          <w:sz w:val="20"/>
          <w:szCs w:val="20"/>
          <w:lang w:val="sr-Cyrl-CS"/>
        </w:rPr>
        <w:t>Крајњи рок за доста</w:t>
      </w:r>
      <w:r w:rsidR="00AC6453" w:rsidRPr="00AC6453">
        <w:rPr>
          <w:rFonts w:ascii="Calibri" w:hAnsi="Calibri"/>
          <w:b/>
          <w:sz w:val="20"/>
          <w:szCs w:val="20"/>
          <w:lang w:val="sr-Cyrl-CS"/>
        </w:rPr>
        <w:t>в</w:t>
      </w:r>
      <w:r w:rsidR="00F24C4F">
        <w:rPr>
          <w:rFonts w:ascii="Calibri" w:hAnsi="Calibri"/>
          <w:b/>
          <w:sz w:val="20"/>
          <w:szCs w:val="20"/>
          <w:lang w:val="sr-Cyrl-CS"/>
        </w:rPr>
        <w:t>љање понуда је 28</w:t>
      </w:r>
      <w:r w:rsidR="002F6751">
        <w:rPr>
          <w:rFonts w:ascii="Calibri" w:hAnsi="Calibri"/>
          <w:b/>
          <w:sz w:val="20"/>
          <w:szCs w:val="20"/>
          <w:lang w:val="sr-Cyrl-CS"/>
        </w:rPr>
        <w:t>.08</w:t>
      </w:r>
      <w:r w:rsidRPr="00AC6453">
        <w:rPr>
          <w:rFonts w:ascii="Calibri" w:hAnsi="Calibri"/>
          <w:b/>
          <w:sz w:val="20"/>
          <w:szCs w:val="20"/>
          <w:lang w:val="sr-Cyrl-CS"/>
        </w:rPr>
        <w:t xml:space="preserve">.2015 године до </w:t>
      </w:r>
      <w:r w:rsidR="00E00EBA">
        <w:rPr>
          <w:rFonts w:ascii="Calibri" w:hAnsi="Calibri"/>
          <w:b/>
          <w:sz w:val="20"/>
          <w:szCs w:val="20"/>
          <w:lang w:val="sr-Cyrl-CS"/>
        </w:rPr>
        <w:t>13:45</w:t>
      </w:r>
      <w:r w:rsidRPr="00AC6453">
        <w:rPr>
          <w:rFonts w:ascii="Calibri" w:hAnsi="Calibri"/>
          <w:b/>
          <w:sz w:val="20"/>
          <w:szCs w:val="20"/>
          <w:lang w:val="sr-Cyrl-CS"/>
        </w:rPr>
        <w:t xml:space="preserve"> h часова,у просторијама стечајног управника,ул.Бранка Радичевића бр.12/4,34000 Крагујевац.</w:t>
      </w:r>
    </w:p>
    <w:p w:rsidR="00291B95" w:rsidRDefault="00291B95" w:rsidP="006D7DBE">
      <w:pPr>
        <w:tabs>
          <w:tab w:val="left" w:pos="1134"/>
        </w:tabs>
        <w:ind w:firstLine="1134"/>
        <w:rPr>
          <w:rFonts w:ascii="Calibri" w:hAnsi="Calibri"/>
          <w:sz w:val="20"/>
          <w:szCs w:val="20"/>
          <w:lang w:val="sr-Cyrl-CS"/>
        </w:rPr>
      </w:pPr>
    </w:p>
    <w:p w:rsidR="006A3F14" w:rsidRDefault="00291B95" w:rsidP="006D7DBE">
      <w:pPr>
        <w:tabs>
          <w:tab w:val="left" w:pos="1134"/>
        </w:tabs>
        <w:ind w:firstLine="1134"/>
        <w:rPr>
          <w:rFonts w:ascii="Calibri" w:hAnsi="Calibri"/>
          <w:sz w:val="20"/>
          <w:szCs w:val="20"/>
          <w:lang w:val="sr-Cyrl-CS"/>
        </w:rPr>
      </w:pPr>
      <w:r>
        <w:rPr>
          <w:rFonts w:ascii="Calibri" w:hAnsi="Calibri"/>
          <w:sz w:val="20"/>
          <w:szCs w:val="20"/>
          <w:lang w:val="sr-Cyrl-CS"/>
        </w:rPr>
        <w:t>Право на учешће имају сва правна и физичка лица</w:t>
      </w:r>
      <w:r w:rsidR="006A3F14">
        <w:rPr>
          <w:rFonts w:ascii="Calibri" w:hAnsi="Calibri"/>
          <w:sz w:val="20"/>
          <w:szCs w:val="20"/>
          <w:lang w:val="sr-Cyrl-CS"/>
        </w:rPr>
        <w:t xml:space="preserve"> која:</w:t>
      </w:r>
    </w:p>
    <w:p w:rsidR="006A3F14" w:rsidRDefault="006A3F14" w:rsidP="006D7DBE">
      <w:pPr>
        <w:tabs>
          <w:tab w:val="left" w:pos="1134"/>
        </w:tabs>
        <w:ind w:firstLine="1134"/>
        <w:rPr>
          <w:rFonts w:ascii="Calibri" w:hAnsi="Calibri"/>
          <w:sz w:val="20"/>
          <w:szCs w:val="20"/>
          <w:lang w:val="sr-Cyrl-CS"/>
        </w:rPr>
      </w:pPr>
    </w:p>
    <w:p w:rsidR="00A76BD9" w:rsidRPr="002F6751" w:rsidRDefault="006A3F14" w:rsidP="00A76BD9">
      <w:pPr>
        <w:numPr>
          <w:ilvl w:val="0"/>
          <w:numId w:val="1"/>
        </w:numPr>
        <w:tabs>
          <w:tab w:val="clear" w:pos="720"/>
          <w:tab w:val="num" w:pos="426"/>
        </w:tabs>
        <w:suppressAutoHyphens w:val="0"/>
        <w:ind w:left="426" w:hanging="426"/>
        <w:jc w:val="both"/>
        <w:rPr>
          <w:rFonts w:ascii="Calibri" w:hAnsi="Calibri" w:cs="Arial"/>
          <w:sz w:val="20"/>
          <w:szCs w:val="20"/>
          <w:lang w:val="sr-Cyrl-CS"/>
        </w:rPr>
      </w:pPr>
      <w:r>
        <w:rPr>
          <w:rFonts w:ascii="Calibri" w:hAnsi="Calibri"/>
          <w:sz w:val="20"/>
          <w:szCs w:val="20"/>
          <w:lang w:val="sr-Cyrl-CS"/>
        </w:rPr>
        <w:t>Након добијања проф</w:t>
      </w:r>
      <w:r w:rsidR="00754529">
        <w:rPr>
          <w:rFonts w:ascii="Calibri" w:hAnsi="Calibri"/>
          <w:sz w:val="20"/>
          <w:szCs w:val="20"/>
          <w:lang w:val="sr-Cyrl-CS"/>
        </w:rPr>
        <w:t>а</w:t>
      </w:r>
      <w:r>
        <w:rPr>
          <w:rFonts w:ascii="Calibri" w:hAnsi="Calibri"/>
          <w:sz w:val="20"/>
          <w:szCs w:val="20"/>
          <w:lang w:val="sr-Cyrl-CS"/>
        </w:rPr>
        <w:t xml:space="preserve">ктуре,изврше уплату ради откупа продајне документације у износу од </w:t>
      </w:r>
      <w:r w:rsidR="00C660FD">
        <w:rPr>
          <w:rFonts w:ascii="Calibri" w:hAnsi="Calibri"/>
          <w:b/>
          <w:sz w:val="20"/>
          <w:szCs w:val="20"/>
          <w:lang w:val="sr-Cyrl-CS"/>
        </w:rPr>
        <w:t>42</w:t>
      </w:r>
      <w:r w:rsidRPr="00AC6453">
        <w:rPr>
          <w:rFonts w:ascii="Calibri" w:hAnsi="Calibri"/>
          <w:b/>
          <w:sz w:val="20"/>
          <w:szCs w:val="20"/>
          <w:lang w:val="sr-Cyrl-CS"/>
        </w:rPr>
        <w:t>.000,00 динара</w:t>
      </w:r>
      <w:r>
        <w:rPr>
          <w:rFonts w:ascii="Calibri" w:hAnsi="Calibri"/>
          <w:sz w:val="20"/>
          <w:szCs w:val="20"/>
          <w:lang w:val="sr-Cyrl-CS"/>
        </w:rPr>
        <w:t>(профактура се може преузети сваког радног дана</w:t>
      </w:r>
      <w:r w:rsidR="00A76BD9" w:rsidRPr="00A76BD9">
        <w:rPr>
          <w:rFonts w:ascii="Arial" w:hAnsi="Arial" w:cs="Arial"/>
          <w:sz w:val="20"/>
          <w:szCs w:val="20"/>
          <w:lang w:val="sr-Cyrl-CS"/>
        </w:rPr>
        <w:t xml:space="preserve"> </w:t>
      </w:r>
      <w:r w:rsidR="00A76BD9" w:rsidRPr="002F6751">
        <w:rPr>
          <w:rFonts w:ascii="Calibri" w:hAnsi="Calibri" w:cs="Arial"/>
          <w:sz w:val="20"/>
          <w:szCs w:val="20"/>
          <w:lang w:val="sr-Cyrl-CS"/>
        </w:rPr>
        <w:t>на адреси</w:t>
      </w:r>
      <w:r w:rsidR="008E13D9">
        <w:rPr>
          <w:rFonts w:ascii="Calibri" w:hAnsi="Calibri" w:cs="Arial"/>
          <w:sz w:val="20"/>
          <w:szCs w:val="20"/>
          <w:lang w:val="sr-Cyrl-CS"/>
        </w:rPr>
        <w:t xml:space="preserve"> ул.</w:t>
      </w:r>
      <w:r w:rsidR="00A76BD9" w:rsidRPr="002F6751">
        <w:rPr>
          <w:rFonts w:ascii="Calibri" w:hAnsi="Calibri" w:cs="Arial"/>
          <w:sz w:val="20"/>
          <w:szCs w:val="20"/>
          <w:lang w:val="sr-Cyrl-CS"/>
        </w:rPr>
        <w:t xml:space="preserve"> </w:t>
      </w:r>
      <w:r w:rsidR="002F6751">
        <w:rPr>
          <w:rFonts w:asciiTheme="minorHAnsi" w:hAnsiTheme="minorHAnsi" w:cs="Arial"/>
          <w:sz w:val="20"/>
          <w:szCs w:val="20"/>
          <w:lang w:val="ru-RU"/>
        </w:rPr>
        <w:t>Бранка Радичевића бр.12/4</w:t>
      </w:r>
      <w:r w:rsidR="00A76BD9" w:rsidRPr="002F6751">
        <w:rPr>
          <w:rFonts w:ascii="Calibri" w:hAnsi="Calibri" w:cs="Arial"/>
          <w:sz w:val="20"/>
          <w:szCs w:val="20"/>
          <w:lang w:val="ru-RU"/>
        </w:rPr>
        <w:t>,</w:t>
      </w:r>
      <w:r w:rsidR="008E13D9">
        <w:rPr>
          <w:rFonts w:ascii="Calibri" w:hAnsi="Calibri" w:cs="Arial"/>
          <w:sz w:val="20"/>
          <w:szCs w:val="20"/>
          <w:lang w:val="ru-RU"/>
        </w:rPr>
        <w:t>Крагујевац</w:t>
      </w:r>
      <w:r w:rsidR="00A76BD9" w:rsidRPr="002F6751">
        <w:rPr>
          <w:rFonts w:ascii="Calibri" w:hAnsi="Calibri" w:cs="Arial"/>
          <w:sz w:val="20"/>
          <w:szCs w:val="20"/>
          <w:lang w:val="ru-RU"/>
        </w:rPr>
        <w:t xml:space="preserve"> </w:t>
      </w:r>
      <w:r w:rsidR="00A76BD9" w:rsidRPr="002F6751">
        <w:rPr>
          <w:rFonts w:ascii="Calibri" w:hAnsi="Calibri" w:cs="Arial"/>
          <w:sz w:val="20"/>
          <w:szCs w:val="20"/>
          <w:lang w:val="sr-Cyrl-CS"/>
        </w:rPr>
        <w:t xml:space="preserve"> у периоду од 10 до 15 часова, уз обавезну најаву стечајном управнику. Рок за откуп продајне документације је </w:t>
      </w:r>
      <w:r w:rsidR="008E13D9">
        <w:rPr>
          <w:rFonts w:ascii="Calibri" w:hAnsi="Calibri" w:cs="Arial"/>
          <w:b/>
          <w:sz w:val="20"/>
          <w:szCs w:val="20"/>
        </w:rPr>
        <w:t>20</w:t>
      </w:r>
      <w:r w:rsidR="00A76BD9" w:rsidRPr="002F6751">
        <w:rPr>
          <w:rFonts w:ascii="Calibri" w:hAnsi="Calibri" w:cs="Arial"/>
          <w:b/>
          <w:sz w:val="20"/>
          <w:szCs w:val="20"/>
          <w:lang w:val="sr-Cyrl-CS"/>
        </w:rPr>
        <w:t>.0</w:t>
      </w:r>
      <w:r w:rsidR="008E13D9">
        <w:rPr>
          <w:rFonts w:ascii="Calibri" w:hAnsi="Calibri" w:cs="Arial"/>
          <w:b/>
          <w:sz w:val="20"/>
          <w:szCs w:val="20"/>
        </w:rPr>
        <w:t>8</w:t>
      </w:r>
      <w:r w:rsidR="00A76BD9" w:rsidRPr="002F6751">
        <w:rPr>
          <w:rFonts w:ascii="Calibri" w:hAnsi="Calibri" w:cs="Arial"/>
          <w:b/>
          <w:sz w:val="20"/>
          <w:szCs w:val="20"/>
          <w:lang w:val="sr-Cyrl-CS"/>
        </w:rPr>
        <w:t>.2015</w:t>
      </w:r>
      <w:r w:rsidR="00A76BD9" w:rsidRPr="002F6751">
        <w:rPr>
          <w:rFonts w:ascii="Calibri" w:hAnsi="Calibri" w:cs="Arial"/>
          <w:b/>
          <w:sz w:val="20"/>
          <w:szCs w:val="20"/>
          <w:lang w:val="ru-RU"/>
        </w:rPr>
        <w:t xml:space="preserve">. </w:t>
      </w:r>
      <w:r w:rsidR="00A76BD9" w:rsidRPr="002F6751">
        <w:rPr>
          <w:rFonts w:ascii="Calibri" w:hAnsi="Calibri" w:cs="Arial"/>
          <w:b/>
          <w:sz w:val="20"/>
          <w:szCs w:val="20"/>
          <w:lang w:val="sr-Cyrl-CS"/>
        </w:rPr>
        <w:t>год</w:t>
      </w:r>
      <w:r w:rsidR="00DC0273">
        <w:rPr>
          <w:rFonts w:ascii="Calibri" w:hAnsi="Calibri" w:cs="Arial"/>
          <w:sz w:val="20"/>
          <w:szCs w:val="20"/>
          <w:lang w:val="sr-Cyrl-CS"/>
        </w:rPr>
        <w:t>.</w:t>
      </w:r>
    </w:p>
    <w:p w:rsidR="000D057A" w:rsidRPr="008E13D9" w:rsidRDefault="000D057A" w:rsidP="006D7DBE">
      <w:pPr>
        <w:tabs>
          <w:tab w:val="left" w:pos="1134"/>
        </w:tabs>
        <w:ind w:firstLine="1134"/>
        <w:rPr>
          <w:rFonts w:ascii="Calibri" w:hAnsi="Calibri"/>
          <w:sz w:val="20"/>
          <w:szCs w:val="20"/>
        </w:rPr>
      </w:pPr>
    </w:p>
    <w:p w:rsidR="006A3F14" w:rsidRPr="008E13D9" w:rsidRDefault="008E13D9" w:rsidP="008E13D9">
      <w:pPr>
        <w:numPr>
          <w:ilvl w:val="0"/>
          <w:numId w:val="1"/>
        </w:numPr>
        <w:tabs>
          <w:tab w:val="clear" w:pos="720"/>
          <w:tab w:val="num" w:pos="360"/>
        </w:tabs>
        <w:suppressAutoHyphens w:val="0"/>
        <w:ind w:left="360"/>
        <w:jc w:val="both"/>
        <w:rPr>
          <w:rFonts w:ascii="Arial" w:hAnsi="Arial" w:cs="Arial"/>
          <w:sz w:val="20"/>
          <w:szCs w:val="20"/>
          <w:lang w:val="sr-Cyrl-CS"/>
        </w:rPr>
      </w:pPr>
      <w:r>
        <w:rPr>
          <w:rFonts w:ascii="Calibri" w:hAnsi="Calibri"/>
          <w:sz w:val="20"/>
          <w:szCs w:val="20"/>
        </w:rPr>
        <w:t>У</w:t>
      </w:r>
      <w:r w:rsidR="00AC6453" w:rsidRPr="008E13D9">
        <w:rPr>
          <w:rFonts w:ascii="Calibri" w:hAnsi="Calibri"/>
          <w:sz w:val="20"/>
          <w:szCs w:val="20"/>
        </w:rPr>
        <w:t xml:space="preserve">плате </w:t>
      </w:r>
      <w:r w:rsidR="00AC6453" w:rsidRPr="008E13D9">
        <w:rPr>
          <w:rFonts w:ascii="Calibri" w:hAnsi="Calibri"/>
          <w:b/>
          <w:sz w:val="20"/>
          <w:szCs w:val="20"/>
        </w:rPr>
        <w:t>депозит</w:t>
      </w:r>
      <w:r w:rsidR="006A3F14" w:rsidRPr="008E13D9">
        <w:rPr>
          <w:rFonts w:ascii="Calibri" w:hAnsi="Calibri"/>
          <w:sz w:val="20"/>
          <w:szCs w:val="20"/>
        </w:rPr>
        <w:t xml:space="preserve"> у износу на текући рачун стечајног дужника бр.360-7494-22 код Дунав банке АД Београд,или положе неопозиву првокласну банкарску гаранцију наплативу на први позив,најкасније </w:t>
      </w:r>
      <w:r w:rsidR="006A3F14" w:rsidRPr="008E13D9">
        <w:rPr>
          <w:rFonts w:ascii="Calibri" w:hAnsi="Calibri"/>
          <w:b/>
          <w:sz w:val="20"/>
          <w:szCs w:val="20"/>
        </w:rPr>
        <w:t>5 радних дана</w:t>
      </w:r>
      <w:r w:rsidR="006A3F14" w:rsidRPr="008E13D9">
        <w:rPr>
          <w:rFonts w:ascii="Calibri" w:hAnsi="Calibri"/>
          <w:sz w:val="20"/>
          <w:szCs w:val="20"/>
        </w:rPr>
        <w:t xml:space="preserve"> пре одржавања прод</w:t>
      </w:r>
      <w:r w:rsidR="00F24C4F">
        <w:rPr>
          <w:rFonts w:ascii="Calibri" w:hAnsi="Calibri"/>
          <w:sz w:val="20"/>
          <w:szCs w:val="20"/>
        </w:rPr>
        <w:t xml:space="preserve">аје(рок за уплату депозита је </w:t>
      </w:r>
      <w:r w:rsidR="00F24C4F">
        <w:rPr>
          <w:rFonts w:ascii="Calibri" w:hAnsi="Calibri"/>
          <w:sz w:val="20"/>
          <w:szCs w:val="20"/>
          <w:lang/>
        </w:rPr>
        <w:t>22</w:t>
      </w:r>
      <w:r w:rsidRPr="008E13D9">
        <w:rPr>
          <w:rFonts w:ascii="Calibri" w:hAnsi="Calibri"/>
          <w:sz w:val="20"/>
          <w:szCs w:val="20"/>
        </w:rPr>
        <w:t>.08</w:t>
      </w:r>
      <w:r w:rsidR="006A3F14" w:rsidRPr="008E13D9">
        <w:rPr>
          <w:rFonts w:ascii="Calibri" w:hAnsi="Calibri"/>
          <w:sz w:val="20"/>
          <w:szCs w:val="20"/>
        </w:rPr>
        <w:t>.2015 године)</w:t>
      </w:r>
    </w:p>
    <w:p w:rsidR="008E13D9" w:rsidRDefault="006A3F14" w:rsidP="006D7DBE">
      <w:pPr>
        <w:tabs>
          <w:tab w:val="left" w:pos="1134"/>
        </w:tabs>
        <w:ind w:firstLine="1134"/>
        <w:rPr>
          <w:rFonts w:ascii="Calibri" w:hAnsi="Calibri"/>
          <w:sz w:val="20"/>
          <w:szCs w:val="20"/>
        </w:rPr>
      </w:pPr>
      <w:r>
        <w:rPr>
          <w:rFonts w:ascii="Calibri" w:hAnsi="Calibri"/>
          <w:sz w:val="20"/>
          <w:szCs w:val="20"/>
        </w:rPr>
        <w:t xml:space="preserve">У случају </w:t>
      </w:r>
      <w:r w:rsidR="00754529">
        <w:rPr>
          <w:rFonts w:ascii="Calibri" w:hAnsi="Calibri"/>
          <w:sz w:val="20"/>
          <w:szCs w:val="20"/>
        </w:rPr>
        <w:t>да се као депозит положи</w:t>
      </w:r>
      <w:r>
        <w:rPr>
          <w:rFonts w:ascii="Calibri" w:hAnsi="Calibri"/>
          <w:sz w:val="20"/>
          <w:szCs w:val="20"/>
        </w:rPr>
        <w:t xml:space="preserve"> првокласна банкарска гаранција,оригинал исте се ради </w:t>
      </w:r>
      <w:r w:rsidR="008E13D9">
        <w:rPr>
          <w:rFonts w:ascii="Calibri" w:hAnsi="Calibri"/>
          <w:sz w:val="20"/>
          <w:szCs w:val="20"/>
        </w:rPr>
        <w:t xml:space="preserve"> </w:t>
      </w:r>
    </w:p>
    <w:p w:rsidR="008E13D9" w:rsidRDefault="008E13D9" w:rsidP="008E13D9">
      <w:pPr>
        <w:tabs>
          <w:tab w:val="left" w:pos="1134"/>
        </w:tabs>
        <w:rPr>
          <w:rFonts w:ascii="Calibri" w:hAnsi="Calibri"/>
          <w:sz w:val="20"/>
          <w:szCs w:val="20"/>
        </w:rPr>
      </w:pPr>
      <w:r>
        <w:rPr>
          <w:rFonts w:ascii="Calibri" w:hAnsi="Calibri"/>
          <w:sz w:val="20"/>
          <w:szCs w:val="20"/>
        </w:rPr>
        <w:t xml:space="preserve">        </w:t>
      </w:r>
      <w:r w:rsidR="006A3F14">
        <w:rPr>
          <w:rFonts w:ascii="Calibri" w:hAnsi="Calibri"/>
          <w:sz w:val="20"/>
          <w:szCs w:val="20"/>
        </w:rPr>
        <w:t xml:space="preserve">провере заједно са Обрасцем пријаве доставља стечајном управнику,копија банкарске гаранције или </w:t>
      </w:r>
      <w:r>
        <w:rPr>
          <w:rFonts w:ascii="Calibri" w:hAnsi="Calibri"/>
          <w:sz w:val="20"/>
          <w:szCs w:val="20"/>
        </w:rPr>
        <w:t xml:space="preserve"> </w:t>
      </w:r>
    </w:p>
    <w:p w:rsidR="008E13D9" w:rsidRDefault="008E13D9" w:rsidP="008E13D9">
      <w:pPr>
        <w:tabs>
          <w:tab w:val="left" w:pos="1134"/>
        </w:tabs>
        <w:rPr>
          <w:rFonts w:ascii="Calibri" w:hAnsi="Calibri"/>
          <w:sz w:val="20"/>
          <w:szCs w:val="20"/>
        </w:rPr>
      </w:pPr>
      <w:r>
        <w:rPr>
          <w:rFonts w:ascii="Calibri" w:hAnsi="Calibri"/>
          <w:sz w:val="20"/>
          <w:szCs w:val="20"/>
        </w:rPr>
        <w:t xml:space="preserve">        </w:t>
      </w:r>
      <w:r w:rsidR="006A3F14">
        <w:rPr>
          <w:rFonts w:ascii="Calibri" w:hAnsi="Calibri"/>
          <w:sz w:val="20"/>
          <w:szCs w:val="20"/>
        </w:rPr>
        <w:t xml:space="preserve">оверена копија уплате депозита се доставља до </w:t>
      </w:r>
      <w:r w:rsidR="00F24C4F">
        <w:rPr>
          <w:rFonts w:ascii="Calibri" w:hAnsi="Calibri"/>
          <w:sz w:val="20"/>
          <w:szCs w:val="20"/>
          <w:lang/>
        </w:rPr>
        <w:t>18</w:t>
      </w:r>
      <w:r w:rsidR="00F24C4F">
        <w:rPr>
          <w:rFonts w:ascii="Calibri" w:hAnsi="Calibri"/>
          <w:sz w:val="20"/>
          <w:szCs w:val="20"/>
        </w:rPr>
        <w:t>.0</w:t>
      </w:r>
      <w:r w:rsidR="00F24C4F">
        <w:rPr>
          <w:rFonts w:ascii="Calibri" w:hAnsi="Calibri"/>
          <w:sz w:val="20"/>
          <w:szCs w:val="20"/>
          <w:lang/>
        </w:rPr>
        <w:t>8</w:t>
      </w:r>
      <w:r w:rsidR="002C3059">
        <w:rPr>
          <w:rFonts w:ascii="Calibri" w:hAnsi="Calibri"/>
          <w:sz w:val="20"/>
          <w:szCs w:val="20"/>
        </w:rPr>
        <w:t xml:space="preserve">.2015 године на адреси Крагујевац,ул.Бранка </w:t>
      </w:r>
      <w:r>
        <w:rPr>
          <w:rFonts w:ascii="Calibri" w:hAnsi="Calibri"/>
          <w:sz w:val="20"/>
          <w:szCs w:val="20"/>
        </w:rPr>
        <w:t xml:space="preserve"> </w:t>
      </w:r>
    </w:p>
    <w:p w:rsidR="008E13D9" w:rsidRDefault="008E13D9" w:rsidP="008E13D9">
      <w:pPr>
        <w:tabs>
          <w:tab w:val="left" w:pos="1134"/>
        </w:tabs>
        <w:rPr>
          <w:rFonts w:ascii="Calibri" w:hAnsi="Calibri"/>
          <w:sz w:val="20"/>
          <w:szCs w:val="20"/>
        </w:rPr>
      </w:pPr>
      <w:r>
        <w:rPr>
          <w:rFonts w:ascii="Calibri" w:hAnsi="Calibri"/>
          <w:sz w:val="20"/>
          <w:szCs w:val="20"/>
        </w:rPr>
        <w:t xml:space="preserve">        </w:t>
      </w:r>
      <w:r w:rsidR="002C3059">
        <w:rPr>
          <w:rFonts w:ascii="Calibri" w:hAnsi="Calibri"/>
          <w:sz w:val="20"/>
          <w:szCs w:val="20"/>
        </w:rPr>
        <w:t xml:space="preserve">Радичевића бр </w:t>
      </w:r>
      <w:r w:rsidR="00754529">
        <w:rPr>
          <w:rFonts w:ascii="Calibri" w:hAnsi="Calibri"/>
          <w:sz w:val="20"/>
          <w:szCs w:val="20"/>
        </w:rPr>
        <w:t>1</w:t>
      </w:r>
      <w:r>
        <w:rPr>
          <w:rFonts w:ascii="Calibri" w:hAnsi="Calibri"/>
          <w:sz w:val="20"/>
          <w:szCs w:val="20"/>
        </w:rPr>
        <w:t>2/4 најкасније до  15</w:t>
      </w:r>
      <w:r w:rsidR="00AC6453">
        <w:rPr>
          <w:rFonts w:ascii="Calibri" w:hAnsi="Calibri"/>
          <w:sz w:val="20"/>
          <w:szCs w:val="20"/>
        </w:rPr>
        <w:t xml:space="preserve"> </w:t>
      </w:r>
      <w:r w:rsidR="002C3059">
        <w:rPr>
          <w:rFonts w:ascii="Calibri" w:hAnsi="Calibri"/>
          <w:sz w:val="20"/>
          <w:szCs w:val="20"/>
        </w:rPr>
        <w:t xml:space="preserve">часова по </w:t>
      </w:r>
      <w:r w:rsidR="002C3059" w:rsidRPr="00AC6453">
        <w:rPr>
          <w:rFonts w:ascii="Calibri" w:hAnsi="Calibri"/>
          <w:b/>
          <w:sz w:val="20"/>
          <w:szCs w:val="20"/>
        </w:rPr>
        <w:t>београдском времену(GМТ+1).</w:t>
      </w:r>
      <w:r w:rsidR="002C3059">
        <w:rPr>
          <w:rFonts w:ascii="Calibri" w:hAnsi="Calibri"/>
          <w:sz w:val="20"/>
          <w:szCs w:val="20"/>
        </w:rPr>
        <w:t xml:space="preserve">У случају да је учесник </w:t>
      </w:r>
    </w:p>
    <w:p w:rsidR="006A3F14" w:rsidRDefault="008E13D9" w:rsidP="008E13D9">
      <w:pPr>
        <w:tabs>
          <w:tab w:val="left" w:pos="1134"/>
        </w:tabs>
        <w:rPr>
          <w:rFonts w:ascii="Calibri" w:hAnsi="Calibri"/>
          <w:sz w:val="20"/>
          <w:szCs w:val="20"/>
        </w:rPr>
      </w:pPr>
      <w:r>
        <w:rPr>
          <w:rFonts w:ascii="Calibri" w:hAnsi="Calibri"/>
          <w:sz w:val="20"/>
          <w:szCs w:val="20"/>
        </w:rPr>
        <w:t xml:space="preserve">        </w:t>
      </w:r>
      <w:r w:rsidR="002C3059">
        <w:rPr>
          <w:rFonts w:ascii="Calibri" w:hAnsi="Calibri"/>
          <w:sz w:val="20"/>
          <w:szCs w:val="20"/>
        </w:rPr>
        <w:t>који предаје  пријаву правно лице,поверенику се доставља и извод из регистрације и ОП образац.</w:t>
      </w:r>
    </w:p>
    <w:p w:rsidR="008E13D9" w:rsidRPr="008E13D9" w:rsidRDefault="008E13D9" w:rsidP="008E13D9">
      <w:pPr>
        <w:tabs>
          <w:tab w:val="left" w:pos="1134"/>
        </w:tabs>
        <w:rPr>
          <w:rFonts w:ascii="Calibri" w:hAnsi="Calibri"/>
          <w:sz w:val="20"/>
          <w:szCs w:val="20"/>
        </w:rPr>
      </w:pPr>
      <w:r>
        <w:rPr>
          <w:rFonts w:ascii="Calibri" w:hAnsi="Calibri"/>
          <w:sz w:val="20"/>
          <w:szCs w:val="20"/>
        </w:rPr>
        <w:t xml:space="preserve">        Банкарска гаранција мора имати рок важења до 30.09.2015 године.</w:t>
      </w:r>
    </w:p>
    <w:p w:rsidR="008E13D9" w:rsidRDefault="008E13D9" w:rsidP="008E13D9">
      <w:pPr>
        <w:tabs>
          <w:tab w:val="left" w:pos="1134"/>
        </w:tabs>
        <w:rPr>
          <w:rFonts w:ascii="Calibri" w:hAnsi="Calibri"/>
          <w:sz w:val="20"/>
          <w:szCs w:val="20"/>
        </w:rPr>
      </w:pPr>
      <w:r>
        <w:rPr>
          <w:rFonts w:ascii="Calibri" w:hAnsi="Calibri"/>
          <w:sz w:val="20"/>
          <w:szCs w:val="20"/>
        </w:rPr>
        <w:t xml:space="preserve">        </w:t>
      </w:r>
      <w:r w:rsidR="002C3059">
        <w:rPr>
          <w:rFonts w:ascii="Calibri" w:hAnsi="Calibri"/>
          <w:sz w:val="20"/>
          <w:szCs w:val="20"/>
        </w:rPr>
        <w:t xml:space="preserve">Уколико на јавном  отварању писмених понуда победи купац који је депозит обезбедио банкарском </w:t>
      </w:r>
      <w:r>
        <w:rPr>
          <w:rFonts w:ascii="Calibri" w:hAnsi="Calibri"/>
          <w:sz w:val="20"/>
          <w:szCs w:val="20"/>
        </w:rPr>
        <w:t xml:space="preserve"> </w:t>
      </w:r>
    </w:p>
    <w:p w:rsidR="008E13D9" w:rsidRDefault="008E13D9" w:rsidP="008E13D9">
      <w:pPr>
        <w:tabs>
          <w:tab w:val="left" w:pos="1134"/>
        </w:tabs>
        <w:rPr>
          <w:rFonts w:ascii="Calibri" w:hAnsi="Calibri"/>
          <w:sz w:val="20"/>
          <w:szCs w:val="20"/>
        </w:rPr>
      </w:pPr>
      <w:r>
        <w:rPr>
          <w:rFonts w:ascii="Calibri" w:hAnsi="Calibri"/>
          <w:sz w:val="20"/>
          <w:szCs w:val="20"/>
        </w:rPr>
        <w:t xml:space="preserve">        </w:t>
      </w:r>
      <w:r w:rsidR="002C3059">
        <w:rPr>
          <w:rFonts w:ascii="Calibri" w:hAnsi="Calibri"/>
          <w:sz w:val="20"/>
          <w:szCs w:val="20"/>
        </w:rPr>
        <w:t xml:space="preserve">гаранцијом,исти мора измирити износ депозита у року од </w:t>
      </w:r>
      <w:r w:rsidR="002C3059" w:rsidRPr="00AC6453">
        <w:rPr>
          <w:rFonts w:ascii="Calibri" w:hAnsi="Calibri"/>
          <w:b/>
          <w:sz w:val="20"/>
          <w:szCs w:val="20"/>
        </w:rPr>
        <w:t>48 сати</w:t>
      </w:r>
      <w:r w:rsidR="009337C4">
        <w:rPr>
          <w:rFonts w:ascii="Calibri" w:hAnsi="Calibri"/>
          <w:sz w:val="20"/>
          <w:szCs w:val="20"/>
        </w:rPr>
        <w:t xml:space="preserve"> </w:t>
      </w:r>
      <w:r w:rsidR="002C3059">
        <w:rPr>
          <w:rFonts w:ascii="Calibri" w:hAnsi="Calibri"/>
          <w:sz w:val="20"/>
          <w:szCs w:val="20"/>
        </w:rPr>
        <w:t xml:space="preserve">од дана проглашења за најуспешнијег </w:t>
      </w:r>
    </w:p>
    <w:p w:rsidR="008E13D9" w:rsidRDefault="008E13D9" w:rsidP="008E13D9">
      <w:pPr>
        <w:tabs>
          <w:tab w:val="left" w:pos="1134"/>
        </w:tabs>
        <w:rPr>
          <w:rFonts w:ascii="Calibri" w:hAnsi="Calibri"/>
          <w:sz w:val="20"/>
          <w:szCs w:val="20"/>
        </w:rPr>
      </w:pPr>
      <w:r>
        <w:rPr>
          <w:rFonts w:ascii="Calibri" w:hAnsi="Calibri"/>
          <w:sz w:val="20"/>
          <w:szCs w:val="20"/>
        </w:rPr>
        <w:t xml:space="preserve">        </w:t>
      </w:r>
      <w:r w:rsidR="002C3059">
        <w:rPr>
          <w:rFonts w:ascii="Calibri" w:hAnsi="Calibri"/>
          <w:sz w:val="20"/>
          <w:szCs w:val="20"/>
        </w:rPr>
        <w:t>понуђача,а пре потписивања купопродајног уговора,након чега ће му бити враћена гаранција.</w:t>
      </w:r>
    </w:p>
    <w:p w:rsidR="00C660FD" w:rsidRPr="00C660FD" w:rsidRDefault="00C660FD" w:rsidP="008E13D9">
      <w:pPr>
        <w:tabs>
          <w:tab w:val="left" w:pos="1134"/>
        </w:tabs>
        <w:rPr>
          <w:rFonts w:ascii="Calibri" w:hAnsi="Calibri"/>
          <w:sz w:val="20"/>
          <w:szCs w:val="20"/>
        </w:rPr>
      </w:pPr>
    </w:p>
    <w:p w:rsidR="00A76BD9" w:rsidRPr="00C660FD" w:rsidRDefault="008E13D9" w:rsidP="00C660FD">
      <w:pPr>
        <w:pStyle w:val="ListParagraph"/>
        <w:numPr>
          <w:ilvl w:val="0"/>
          <w:numId w:val="1"/>
        </w:numPr>
        <w:jc w:val="both"/>
        <w:rPr>
          <w:rFonts w:ascii="Arial" w:hAnsi="Arial" w:cs="Arial"/>
          <w:sz w:val="20"/>
          <w:szCs w:val="20"/>
          <w:lang w:val="sr-Cyrl-CS"/>
        </w:rPr>
      </w:pPr>
      <w:r w:rsidRPr="00C660FD">
        <w:rPr>
          <w:rFonts w:ascii="Calibri" w:hAnsi="Calibri"/>
          <w:sz w:val="20"/>
          <w:szCs w:val="20"/>
        </w:rPr>
        <w:t>П</w:t>
      </w:r>
      <w:r w:rsidR="002C3059" w:rsidRPr="00C660FD">
        <w:rPr>
          <w:rFonts w:ascii="Calibri" w:hAnsi="Calibri"/>
          <w:sz w:val="20"/>
          <w:szCs w:val="20"/>
        </w:rPr>
        <w:t>отпишу Изјаву о губитку права на враћање депозита.Изјава чини саставни део продајне документације.</w:t>
      </w:r>
      <w:r w:rsidR="00A76BD9" w:rsidRPr="00C660FD">
        <w:rPr>
          <w:rFonts w:ascii="Arial" w:hAnsi="Arial" w:cs="Arial"/>
          <w:sz w:val="20"/>
          <w:szCs w:val="20"/>
          <w:lang w:val="sr-Cyrl-CS"/>
        </w:rPr>
        <w:t xml:space="preserve"> </w:t>
      </w:r>
    </w:p>
    <w:p w:rsidR="00A76BD9" w:rsidRDefault="00A76BD9" w:rsidP="00A76BD9">
      <w:pPr>
        <w:jc w:val="both"/>
        <w:rPr>
          <w:rFonts w:ascii="Arial" w:hAnsi="Arial" w:cs="Arial"/>
          <w:sz w:val="20"/>
          <w:szCs w:val="20"/>
          <w:lang w:val="sr-Cyrl-CS"/>
        </w:rPr>
      </w:pPr>
    </w:p>
    <w:p w:rsidR="00A76BD9" w:rsidRPr="008E13D9" w:rsidRDefault="00A76BD9" w:rsidP="00A76BD9">
      <w:pPr>
        <w:jc w:val="both"/>
        <w:rPr>
          <w:rFonts w:asciiTheme="minorHAnsi" w:hAnsiTheme="minorHAnsi" w:cs="Arial"/>
          <w:sz w:val="20"/>
          <w:szCs w:val="20"/>
          <w:lang w:val="sr-Cyrl-CS"/>
        </w:rPr>
      </w:pPr>
      <w:r w:rsidRPr="008E13D9">
        <w:rPr>
          <w:rFonts w:asciiTheme="minorHAnsi" w:hAnsiTheme="minorHAnsi" w:cs="Arial"/>
          <w:sz w:val="20"/>
          <w:szCs w:val="20"/>
          <w:lang w:val="sr-Cyrl-CS"/>
        </w:rPr>
        <w:t xml:space="preserve">Имовина се купује у виђеном стању и може се разгледати након откупа продајне документације, </w:t>
      </w:r>
      <w:r w:rsidRPr="008E13D9">
        <w:rPr>
          <w:rFonts w:asciiTheme="minorHAnsi" w:hAnsiTheme="minorHAnsi" w:cs="Arial"/>
          <w:sz w:val="20"/>
          <w:szCs w:val="20"/>
          <w:lang w:val="ru-RU"/>
        </w:rPr>
        <w:t>сваким радним даном од 10 до</w:t>
      </w:r>
      <w:r w:rsidR="00DC0273">
        <w:rPr>
          <w:rFonts w:asciiTheme="minorHAnsi" w:hAnsiTheme="minorHAnsi" w:cs="Arial"/>
          <w:sz w:val="20"/>
          <w:szCs w:val="20"/>
          <w:lang w:val="ru-RU"/>
        </w:rPr>
        <w:t xml:space="preserve"> </w:t>
      </w:r>
      <w:r w:rsidRPr="008E13D9">
        <w:rPr>
          <w:rFonts w:asciiTheme="minorHAnsi" w:hAnsiTheme="minorHAnsi" w:cs="Arial"/>
          <w:sz w:val="20"/>
          <w:szCs w:val="20"/>
          <w:lang w:val="ru-RU"/>
        </w:rPr>
        <w:t xml:space="preserve">14 часова  </w:t>
      </w:r>
      <w:r w:rsidRPr="008E13D9">
        <w:rPr>
          <w:rFonts w:asciiTheme="minorHAnsi" w:hAnsiTheme="minorHAnsi" w:cs="Arial"/>
          <w:sz w:val="20"/>
          <w:szCs w:val="20"/>
          <w:lang w:val="sr-Cyrl-CS"/>
        </w:rPr>
        <w:t>а најкасније  7</w:t>
      </w:r>
      <w:r w:rsidRPr="008E13D9">
        <w:rPr>
          <w:rFonts w:asciiTheme="minorHAnsi" w:hAnsiTheme="minorHAnsi" w:cs="Arial"/>
          <w:sz w:val="20"/>
          <w:szCs w:val="20"/>
        </w:rPr>
        <w:t xml:space="preserve"> </w:t>
      </w:r>
      <w:r w:rsidRPr="008E13D9">
        <w:rPr>
          <w:rFonts w:asciiTheme="minorHAnsi" w:hAnsiTheme="minorHAnsi" w:cs="Arial"/>
          <w:sz w:val="20"/>
          <w:szCs w:val="20"/>
          <w:lang w:val="sr-Cyrl-CS"/>
        </w:rPr>
        <w:t>дана пре заказане продаје</w:t>
      </w:r>
      <w:r w:rsidRPr="008E13D9">
        <w:rPr>
          <w:rFonts w:asciiTheme="minorHAnsi" w:hAnsiTheme="minorHAnsi" w:cs="Arial"/>
          <w:sz w:val="20"/>
          <w:szCs w:val="20"/>
          <w:lang w:val="ru-RU"/>
        </w:rPr>
        <w:t xml:space="preserve"> (уз претходну најаву </w:t>
      </w:r>
      <w:r w:rsidRPr="008E13D9">
        <w:rPr>
          <w:rFonts w:asciiTheme="minorHAnsi" w:hAnsiTheme="minorHAnsi" w:cs="Arial"/>
          <w:sz w:val="20"/>
          <w:szCs w:val="20"/>
          <w:lang w:val="sr-Cyrl-CS"/>
        </w:rPr>
        <w:t>стечајном управнику).</w:t>
      </w:r>
    </w:p>
    <w:p w:rsidR="00A76BD9" w:rsidRPr="00DC0273" w:rsidRDefault="00A76BD9" w:rsidP="00DC0273">
      <w:pPr>
        <w:tabs>
          <w:tab w:val="left" w:pos="1134"/>
        </w:tabs>
        <w:rPr>
          <w:rFonts w:ascii="Calibri" w:hAnsi="Calibri"/>
          <w:sz w:val="20"/>
          <w:szCs w:val="20"/>
          <w:lang/>
        </w:rPr>
      </w:pPr>
    </w:p>
    <w:p w:rsidR="002C3059" w:rsidRDefault="002C3059" w:rsidP="006D7DBE">
      <w:pPr>
        <w:tabs>
          <w:tab w:val="left" w:pos="1134"/>
        </w:tabs>
        <w:ind w:firstLine="1134"/>
        <w:rPr>
          <w:rFonts w:ascii="Calibri" w:hAnsi="Calibri"/>
          <w:sz w:val="20"/>
          <w:szCs w:val="20"/>
        </w:rPr>
      </w:pPr>
      <w:r w:rsidRPr="00AC6453">
        <w:rPr>
          <w:rFonts w:ascii="Calibri" w:hAnsi="Calibri"/>
          <w:b/>
          <w:sz w:val="20"/>
          <w:szCs w:val="20"/>
        </w:rPr>
        <w:t>Детаљне услове продаје</w:t>
      </w:r>
      <w:r>
        <w:rPr>
          <w:rFonts w:ascii="Calibri" w:hAnsi="Calibri"/>
          <w:sz w:val="20"/>
          <w:szCs w:val="20"/>
        </w:rPr>
        <w:t xml:space="preserve"> сва заинетересована лица могу преузети на адреси стечајног управника сваког радног дана од 9 до 5 часова,а најкасније7 радних дана  пре истицања рока за подношење понуде.</w:t>
      </w:r>
    </w:p>
    <w:p w:rsidR="00A76BD9" w:rsidRPr="00A76BD9" w:rsidRDefault="00A76BD9" w:rsidP="006D7DBE">
      <w:pPr>
        <w:tabs>
          <w:tab w:val="left" w:pos="1134"/>
        </w:tabs>
        <w:ind w:firstLine="1134"/>
        <w:rPr>
          <w:rFonts w:ascii="Calibri" w:hAnsi="Calibri"/>
          <w:sz w:val="20"/>
          <w:szCs w:val="20"/>
        </w:rPr>
      </w:pPr>
    </w:p>
    <w:p w:rsidR="008E13D9" w:rsidRDefault="00A76BD9" w:rsidP="00DC0273">
      <w:pPr>
        <w:jc w:val="both"/>
        <w:rPr>
          <w:rFonts w:asciiTheme="minorHAnsi" w:hAnsiTheme="minorHAnsi" w:cs="Arial"/>
          <w:b/>
          <w:bCs/>
          <w:sz w:val="20"/>
          <w:szCs w:val="20"/>
          <w:lang w:val="sr-Cyrl-CS"/>
        </w:rPr>
      </w:pPr>
      <w:r w:rsidRPr="008E13D9">
        <w:rPr>
          <w:rFonts w:asciiTheme="minorHAnsi" w:hAnsiTheme="minorHAnsi" w:cs="Arial"/>
          <w:b/>
          <w:bCs/>
          <w:sz w:val="20"/>
          <w:szCs w:val="20"/>
          <w:lang w:val="sr-Cyrl-CS"/>
        </w:rPr>
        <w:t xml:space="preserve">У разматрање ће се узети само понуде у писаној форми, достављене у запечаћеним ковертама </w:t>
      </w:r>
      <w:r w:rsidRPr="008E13D9">
        <w:rPr>
          <w:rFonts w:asciiTheme="minorHAnsi" w:hAnsiTheme="minorHAnsi" w:cs="Arial"/>
          <w:b/>
          <w:sz w:val="20"/>
          <w:szCs w:val="20"/>
          <w:lang w:val="sr-Cyrl-CS"/>
        </w:rPr>
        <w:t>са назнаком ''Понуда'' на коверти, називом стечајног</w:t>
      </w:r>
      <w:r w:rsidR="008E13D9">
        <w:rPr>
          <w:rFonts w:asciiTheme="minorHAnsi" w:hAnsiTheme="minorHAnsi" w:cs="Arial"/>
          <w:b/>
          <w:sz w:val="20"/>
          <w:szCs w:val="20"/>
          <w:lang w:val="sr-Cyrl-CS"/>
        </w:rPr>
        <w:t xml:space="preserve"> дужника</w:t>
      </w:r>
      <w:r w:rsidRPr="008E13D9">
        <w:rPr>
          <w:rFonts w:asciiTheme="minorHAnsi" w:hAnsiTheme="minorHAnsi" w:cs="Arial"/>
          <w:b/>
          <w:sz w:val="20"/>
          <w:szCs w:val="20"/>
          <w:lang w:val="sr-Cyrl-CS"/>
        </w:rPr>
        <w:t xml:space="preserve"> а </w:t>
      </w:r>
      <w:r w:rsidRPr="008E13D9">
        <w:rPr>
          <w:rFonts w:asciiTheme="minorHAnsi" w:hAnsiTheme="minorHAnsi" w:cs="Arial"/>
          <w:b/>
          <w:bCs/>
          <w:sz w:val="20"/>
          <w:szCs w:val="20"/>
          <w:lang w:val="sr-Cyrl-CS"/>
        </w:rPr>
        <w:t xml:space="preserve">које пристигну на назначену адресу до назначеног времена. </w:t>
      </w:r>
    </w:p>
    <w:p w:rsidR="00DC0273" w:rsidRPr="00DC0273" w:rsidRDefault="00DC0273" w:rsidP="00DC0273">
      <w:pPr>
        <w:jc w:val="both"/>
        <w:rPr>
          <w:rFonts w:asciiTheme="minorHAnsi" w:hAnsiTheme="minorHAnsi" w:cs="Arial"/>
          <w:b/>
          <w:bCs/>
          <w:sz w:val="20"/>
          <w:szCs w:val="20"/>
          <w:lang w:val="sr-Cyrl-CS"/>
        </w:rPr>
      </w:pPr>
    </w:p>
    <w:p w:rsidR="002C3059" w:rsidRDefault="002C3059" w:rsidP="006D7DBE">
      <w:pPr>
        <w:tabs>
          <w:tab w:val="left" w:pos="1134"/>
        </w:tabs>
        <w:ind w:firstLine="1134"/>
        <w:rPr>
          <w:rFonts w:ascii="Calibri" w:hAnsi="Calibri"/>
          <w:b/>
          <w:sz w:val="20"/>
          <w:szCs w:val="20"/>
        </w:rPr>
      </w:pPr>
      <w:r w:rsidRPr="002C3059">
        <w:rPr>
          <w:rFonts w:ascii="Calibri" w:hAnsi="Calibri"/>
          <w:b/>
          <w:sz w:val="20"/>
          <w:szCs w:val="20"/>
        </w:rPr>
        <w:lastRenderedPageBreak/>
        <w:t>Запечаћена коверта са понудом треба да садржи:</w:t>
      </w:r>
    </w:p>
    <w:p w:rsidR="002C3059" w:rsidRDefault="002C3059" w:rsidP="006D7DBE">
      <w:pPr>
        <w:tabs>
          <w:tab w:val="left" w:pos="1134"/>
        </w:tabs>
        <w:ind w:firstLine="1134"/>
        <w:rPr>
          <w:rFonts w:ascii="Calibri" w:hAnsi="Calibri"/>
          <w:sz w:val="20"/>
          <w:szCs w:val="20"/>
        </w:rPr>
      </w:pPr>
      <w:r>
        <w:rPr>
          <w:rFonts w:ascii="Calibri" w:hAnsi="Calibri"/>
          <w:b/>
          <w:sz w:val="20"/>
          <w:szCs w:val="20"/>
        </w:rPr>
        <w:t>-</w:t>
      </w:r>
      <w:r w:rsidRPr="002C3059">
        <w:rPr>
          <w:rFonts w:ascii="Calibri" w:hAnsi="Calibri"/>
          <w:sz w:val="20"/>
          <w:szCs w:val="20"/>
        </w:rPr>
        <w:t>пријаву за учешће н</w:t>
      </w:r>
      <w:r>
        <w:rPr>
          <w:rFonts w:ascii="Calibri" w:hAnsi="Calibri"/>
          <w:sz w:val="20"/>
          <w:szCs w:val="20"/>
        </w:rPr>
        <w:t>а јавном прикупљању понуда потписану лично или од стране овлашћен</w:t>
      </w:r>
      <w:r w:rsidR="009337C4">
        <w:rPr>
          <w:rFonts w:ascii="Calibri" w:hAnsi="Calibri"/>
          <w:sz w:val="20"/>
          <w:szCs w:val="20"/>
        </w:rPr>
        <w:t>o</w:t>
      </w:r>
      <w:r>
        <w:rPr>
          <w:rFonts w:ascii="Calibri" w:hAnsi="Calibri"/>
          <w:sz w:val="20"/>
          <w:szCs w:val="20"/>
        </w:rPr>
        <w:t>г лица и доказ да је у питању овлашћено лице:</w:t>
      </w:r>
    </w:p>
    <w:p w:rsidR="002C3059" w:rsidRDefault="002C3059" w:rsidP="006D7DBE">
      <w:pPr>
        <w:tabs>
          <w:tab w:val="left" w:pos="1134"/>
        </w:tabs>
        <w:ind w:firstLine="1134"/>
        <w:rPr>
          <w:rFonts w:ascii="Calibri" w:hAnsi="Calibri"/>
          <w:sz w:val="20"/>
          <w:szCs w:val="20"/>
        </w:rPr>
      </w:pPr>
      <w:r>
        <w:rPr>
          <w:rFonts w:ascii="Calibri" w:hAnsi="Calibri"/>
          <w:sz w:val="20"/>
          <w:szCs w:val="20"/>
        </w:rPr>
        <w:t>-безусловну понуду,уз навођење јасно одређеног износа на који понуда гласи</w:t>
      </w:r>
    </w:p>
    <w:p w:rsidR="002C3059" w:rsidRDefault="002C3059" w:rsidP="006D7DBE">
      <w:pPr>
        <w:tabs>
          <w:tab w:val="left" w:pos="1134"/>
        </w:tabs>
        <w:ind w:firstLine="1134"/>
        <w:rPr>
          <w:rFonts w:ascii="Calibri" w:hAnsi="Calibri"/>
          <w:sz w:val="20"/>
          <w:szCs w:val="20"/>
        </w:rPr>
      </w:pPr>
      <w:r>
        <w:rPr>
          <w:rFonts w:ascii="Calibri" w:hAnsi="Calibri"/>
          <w:sz w:val="20"/>
          <w:szCs w:val="20"/>
        </w:rPr>
        <w:t>-д</w:t>
      </w:r>
      <w:r w:rsidR="00AC6453">
        <w:rPr>
          <w:rFonts w:ascii="Calibri" w:hAnsi="Calibri"/>
          <w:sz w:val="20"/>
          <w:szCs w:val="20"/>
        </w:rPr>
        <w:t>оказ о уплати депозита или копију</w:t>
      </w:r>
      <w:r>
        <w:rPr>
          <w:rFonts w:ascii="Calibri" w:hAnsi="Calibri"/>
          <w:sz w:val="20"/>
          <w:szCs w:val="20"/>
        </w:rPr>
        <w:t xml:space="preserve"> гаранције</w:t>
      </w:r>
    </w:p>
    <w:p w:rsidR="002C3059" w:rsidRDefault="002C3059" w:rsidP="006D7DBE">
      <w:pPr>
        <w:tabs>
          <w:tab w:val="left" w:pos="1134"/>
        </w:tabs>
        <w:ind w:firstLine="1134"/>
        <w:rPr>
          <w:rFonts w:ascii="Calibri" w:hAnsi="Calibri"/>
          <w:sz w:val="20"/>
          <w:szCs w:val="20"/>
        </w:rPr>
      </w:pPr>
      <w:r>
        <w:rPr>
          <w:rFonts w:ascii="Calibri" w:hAnsi="Calibri"/>
          <w:sz w:val="20"/>
          <w:szCs w:val="20"/>
        </w:rPr>
        <w:t>-потписану  изјаву о губитку права на повраћај депозита</w:t>
      </w:r>
    </w:p>
    <w:p w:rsidR="005244C0" w:rsidRPr="005244C0" w:rsidRDefault="005244C0" w:rsidP="006D7DBE">
      <w:pPr>
        <w:tabs>
          <w:tab w:val="left" w:pos="1134"/>
        </w:tabs>
        <w:ind w:firstLine="1134"/>
        <w:rPr>
          <w:rFonts w:ascii="Calibri" w:hAnsi="Calibri"/>
          <w:sz w:val="20"/>
          <w:szCs w:val="20"/>
        </w:rPr>
      </w:pPr>
      <w:r>
        <w:rPr>
          <w:rFonts w:ascii="Calibri" w:hAnsi="Calibri"/>
          <w:sz w:val="20"/>
          <w:szCs w:val="20"/>
        </w:rPr>
        <w:t>-извод из регистра привредних субјеката и ОП  образац,ако се потенцијални купац пријављује као правно лице</w:t>
      </w:r>
    </w:p>
    <w:p w:rsidR="002C3059" w:rsidRDefault="00F24C4F" w:rsidP="006D7DBE">
      <w:pPr>
        <w:tabs>
          <w:tab w:val="left" w:pos="1134"/>
        </w:tabs>
        <w:ind w:firstLine="1134"/>
        <w:rPr>
          <w:rFonts w:ascii="Calibri" w:hAnsi="Calibri"/>
          <w:sz w:val="20"/>
          <w:szCs w:val="20"/>
        </w:rPr>
      </w:pPr>
      <w:r>
        <w:rPr>
          <w:rFonts w:ascii="Calibri" w:hAnsi="Calibri"/>
          <w:sz w:val="20"/>
          <w:szCs w:val="20"/>
        </w:rPr>
        <w:t>-пуномоћј</w:t>
      </w:r>
      <w:r>
        <w:rPr>
          <w:rFonts w:ascii="Calibri" w:hAnsi="Calibri"/>
          <w:sz w:val="20"/>
          <w:szCs w:val="20"/>
          <w:lang/>
        </w:rPr>
        <w:t>е</w:t>
      </w:r>
      <w:r>
        <w:rPr>
          <w:rFonts w:ascii="Calibri" w:hAnsi="Calibri"/>
          <w:sz w:val="20"/>
          <w:szCs w:val="20"/>
        </w:rPr>
        <w:t xml:space="preserve"> </w:t>
      </w:r>
      <w:r w:rsidR="002C3059">
        <w:rPr>
          <w:rFonts w:ascii="Calibri" w:hAnsi="Calibri"/>
          <w:sz w:val="20"/>
          <w:szCs w:val="20"/>
        </w:rPr>
        <w:t xml:space="preserve"> за заступање на јавном отварању писмених понуда,ако отварању присуствује овлашћени представник.</w:t>
      </w:r>
    </w:p>
    <w:p w:rsidR="002C3059" w:rsidRPr="00A76BD9" w:rsidRDefault="002C3059" w:rsidP="00A76BD9">
      <w:pPr>
        <w:tabs>
          <w:tab w:val="left" w:pos="1134"/>
        </w:tabs>
        <w:rPr>
          <w:rFonts w:ascii="Calibri" w:hAnsi="Calibri"/>
          <w:sz w:val="20"/>
          <w:szCs w:val="20"/>
        </w:rPr>
      </w:pPr>
    </w:p>
    <w:p w:rsidR="002C3059" w:rsidRPr="00B54876" w:rsidRDefault="002C3059" w:rsidP="00B54876">
      <w:pPr>
        <w:tabs>
          <w:tab w:val="left" w:pos="1134"/>
        </w:tabs>
        <w:rPr>
          <w:rFonts w:ascii="Calibri" w:hAnsi="Calibri"/>
          <w:sz w:val="20"/>
          <w:szCs w:val="20"/>
        </w:rPr>
      </w:pPr>
    </w:p>
    <w:p w:rsidR="00A76BD9" w:rsidRPr="00B54876" w:rsidRDefault="00A76BD9" w:rsidP="00A76BD9">
      <w:pPr>
        <w:jc w:val="both"/>
        <w:rPr>
          <w:rFonts w:asciiTheme="minorHAnsi" w:hAnsiTheme="minorHAnsi" w:cs="Arial"/>
          <w:sz w:val="20"/>
          <w:szCs w:val="20"/>
          <w:lang w:val="sr-Cyrl-CS"/>
        </w:rPr>
      </w:pPr>
      <w:r w:rsidRPr="00B54876">
        <w:rPr>
          <w:rFonts w:asciiTheme="minorHAnsi" w:hAnsiTheme="minorHAnsi" w:cs="Arial"/>
          <w:bCs/>
          <w:sz w:val="20"/>
          <w:szCs w:val="20"/>
          <w:lang w:val="sr-Cyrl-CS"/>
        </w:rPr>
        <w:t xml:space="preserve">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 </w:t>
      </w:r>
    </w:p>
    <w:p w:rsidR="002C3059" w:rsidRDefault="002C3059" w:rsidP="006D7DBE">
      <w:pPr>
        <w:tabs>
          <w:tab w:val="left" w:pos="1134"/>
        </w:tabs>
        <w:ind w:firstLine="1134"/>
        <w:rPr>
          <w:rFonts w:ascii="Calibri" w:hAnsi="Calibri"/>
          <w:sz w:val="20"/>
          <w:szCs w:val="20"/>
        </w:rPr>
      </w:pPr>
    </w:p>
    <w:p w:rsidR="002C3059" w:rsidRDefault="002C3059" w:rsidP="006D7DBE">
      <w:pPr>
        <w:tabs>
          <w:tab w:val="left" w:pos="1134"/>
        </w:tabs>
        <w:ind w:firstLine="1134"/>
        <w:rPr>
          <w:rFonts w:ascii="Calibri" w:hAnsi="Calibri"/>
          <w:b/>
          <w:sz w:val="20"/>
          <w:szCs w:val="20"/>
        </w:rPr>
      </w:pPr>
      <w:r w:rsidRPr="00AC6453">
        <w:rPr>
          <w:rFonts w:ascii="Calibri" w:hAnsi="Calibri"/>
          <w:b/>
          <w:sz w:val="20"/>
          <w:szCs w:val="20"/>
        </w:rPr>
        <w:t>Јавно отварање понуда</w:t>
      </w:r>
      <w:r>
        <w:rPr>
          <w:rFonts w:ascii="Calibri" w:hAnsi="Calibri"/>
          <w:sz w:val="20"/>
          <w:szCs w:val="20"/>
        </w:rPr>
        <w:t xml:space="preserve"> одржаће се дана </w:t>
      </w:r>
      <w:r w:rsidR="00F24C4F">
        <w:rPr>
          <w:rFonts w:ascii="Calibri" w:hAnsi="Calibri"/>
          <w:b/>
          <w:sz w:val="20"/>
          <w:szCs w:val="20"/>
        </w:rPr>
        <w:t>2</w:t>
      </w:r>
      <w:r w:rsidR="00F24C4F">
        <w:rPr>
          <w:rFonts w:ascii="Calibri" w:hAnsi="Calibri"/>
          <w:b/>
          <w:sz w:val="20"/>
          <w:szCs w:val="20"/>
          <w:lang/>
        </w:rPr>
        <w:t>8</w:t>
      </w:r>
      <w:r w:rsidR="00B54876">
        <w:rPr>
          <w:rFonts w:ascii="Calibri" w:hAnsi="Calibri"/>
          <w:b/>
          <w:sz w:val="20"/>
          <w:szCs w:val="20"/>
        </w:rPr>
        <w:t>.08</w:t>
      </w:r>
      <w:r w:rsidR="00E00EBA">
        <w:rPr>
          <w:rFonts w:ascii="Calibri" w:hAnsi="Calibri"/>
          <w:b/>
          <w:sz w:val="20"/>
          <w:szCs w:val="20"/>
        </w:rPr>
        <w:t>.2015 године у 1</w:t>
      </w:r>
      <w:r w:rsidR="00E00EBA">
        <w:rPr>
          <w:rFonts w:ascii="Calibri" w:hAnsi="Calibri"/>
          <w:b/>
          <w:sz w:val="20"/>
          <w:szCs w:val="20"/>
          <w:lang/>
        </w:rPr>
        <w:t xml:space="preserve">4:00 </w:t>
      </w:r>
      <w:r w:rsidRPr="00AC6453">
        <w:rPr>
          <w:rFonts w:ascii="Calibri" w:hAnsi="Calibri"/>
          <w:b/>
          <w:sz w:val="20"/>
          <w:szCs w:val="20"/>
        </w:rPr>
        <w:t xml:space="preserve"> часова</w:t>
      </w:r>
      <w:r w:rsidR="00E00EBA">
        <w:rPr>
          <w:rFonts w:ascii="Calibri" w:hAnsi="Calibri"/>
          <w:sz w:val="20"/>
          <w:szCs w:val="20"/>
        </w:rPr>
        <w:t xml:space="preserve"> (1</w:t>
      </w:r>
      <w:r w:rsidR="00E00EBA">
        <w:rPr>
          <w:rFonts w:ascii="Calibri" w:hAnsi="Calibri"/>
          <w:sz w:val="20"/>
          <w:szCs w:val="20"/>
          <w:lang/>
        </w:rPr>
        <w:t>5</w:t>
      </w:r>
      <w:r>
        <w:rPr>
          <w:rFonts w:ascii="Calibri" w:hAnsi="Calibri"/>
          <w:sz w:val="20"/>
          <w:szCs w:val="20"/>
        </w:rPr>
        <w:t xml:space="preserve"> минута по истеку  времена за предају понуда)на адреси: Крагујевац,ул.Бранка </w:t>
      </w:r>
      <w:r w:rsidR="00824817">
        <w:rPr>
          <w:rFonts w:ascii="Calibri" w:hAnsi="Calibri"/>
          <w:sz w:val="20"/>
          <w:szCs w:val="20"/>
        </w:rPr>
        <w:t xml:space="preserve">Радичевића бр.12/4 у присуству </w:t>
      </w:r>
      <w:r w:rsidR="00824817" w:rsidRPr="00824817">
        <w:rPr>
          <w:rFonts w:ascii="Calibri" w:hAnsi="Calibri"/>
          <w:b/>
          <w:sz w:val="20"/>
          <w:szCs w:val="20"/>
        </w:rPr>
        <w:t>К</w:t>
      </w:r>
      <w:r w:rsidRPr="00824817">
        <w:rPr>
          <w:rFonts w:ascii="Calibri" w:hAnsi="Calibri"/>
          <w:b/>
          <w:sz w:val="20"/>
          <w:szCs w:val="20"/>
        </w:rPr>
        <w:t xml:space="preserve">омисије </w:t>
      </w:r>
      <w:r w:rsidR="00824817" w:rsidRPr="00824817">
        <w:rPr>
          <w:rFonts w:ascii="Calibri" w:hAnsi="Calibri"/>
          <w:b/>
          <w:sz w:val="20"/>
          <w:szCs w:val="20"/>
        </w:rPr>
        <w:t>формиране одлуком стечајног управнкика и уз присуство представника свих понуђача.</w:t>
      </w:r>
    </w:p>
    <w:p w:rsidR="00824817" w:rsidRDefault="00824817" w:rsidP="006D7DBE">
      <w:pPr>
        <w:tabs>
          <w:tab w:val="left" w:pos="1134"/>
        </w:tabs>
        <w:ind w:firstLine="1134"/>
        <w:rPr>
          <w:rFonts w:ascii="Calibri" w:hAnsi="Calibri"/>
          <w:sz w:val="20"/>
          <w:szCs w:val="20"/>
        </w:rPr>
      </w:pPr>
      <w:r>
        <w:rPr>
          <w:rFonts w:ascii="Calibri" w:hAnsi="Calibri"/>
          <w:sz w:val="20"/>
          <w:szCs w:val="20"/>
        </w:rPr>
        <w:t>Ако отварању понуда присуствује понуђач лично потребно је да исти поседује и пружи на увид доказ о идентитету(важећа лична карта или пасош).</w:t>
      </w:r>
    </w:p>
    <w:p w:rsidR="00824817" w:rsidRDefault="00824817" w:rsidP="006D7DBE">
      <w:pPr>
        <w:tabs>
          <w:tab w:val="left" w:pos="1134"/>
        </w:tabs>
        <w:ind w:firstLine="1134"/>
        <w:rPr>
          <w:rFonts w:ascii="Calibri" w:hAnsi="Calibri"/>
          <w:sz w:val="20"/>
          <w:szCs w:val="20"/>
        </w:rPr>
      </w:pPr>
      <w:r>
        <w:rPr>
          <w:rFonts w:ascii="Calibri" w:hAnsi="Calibri"/>
          <w:sz w:val="20"/>
          <w:szCs w:val="20"/>
        </w:rPr>
        <w:t>У случају да понуђача заступа овлашћено лице потребно је да исто лице приложи оригинал пуномоћја(овереног пред судом или нотаром)за заступање на јавном отварању писмених понуда.</w:t>
      </w:r>
    </w:p>
    <w:p w:rsidR="00C660FD" w:rsidRPr="00C660FD" w:rsidRDefault="00C660FD" w:rsidP="006D7DBE">
      <w:pPr>
        <w:tabs>
          <w:tab w:val="left" w:pos="1134"/>
        </w:tabs>
        <w:ind w:firstLine="1134"/>
        <w:rPr>
          <w:rFonts w:ascii="Calibri" w:hAnsi="Calibri"/>
          <w:sz w:val="20"/>
          <w:szCs w:val="20"/>
        </w:rPr>
      </w:pPr>
    </w:p>
    <w:p w:rsidR="00824817" w:rsidRDefault="00824817" w:rsidP="006D7DBE">
      <w:pPr>
        <w:tabs>
          <w:tab w:val="left" w:pos="1134"/>
        </w:tabs>
        <w:ind w:firstLine="1134"/>
        <w:rPr>
          <w:rFonts w:ascii="Calibri" w:hAnsi="Calibri"/>
          <w:b/>
          <w:sz w:val="20"/>
          <w:szCs w:val="20"/>
        </w:rPr>
      </w:pPr>
      <w:r w:rsidRPr="00824817">
        <w:rPr>
          <w:rFonts w:ascii="Calibri" w:hAnsi="Calibri"/>
          <w:b/>
          <w:sz w:val="20"/>
          <w:szCs w:val="20"/>
        </w:rPr>
        <w:t xml:space="preserve">Позивају се </w:t>
      </w:r>
      <w:r w:rsidR="005244C0">
        <w:rPr>
          <w:rFonts w:ascii="Calibri" w:hAnsi="Calibri"/>
          <w:b/>
          <w:sz w:val="20"/>
          <w:szCs w:val="20"/>
        </w:rPr>
        <w:t xml:space="preserve"> понуђачи,као и </w:t>
      </w:r>
      <w:r w:rsidRPr="00824817">
        <w:rPr>
          <w:rFonts w:ascii="Calibri" w:hAnsi="Calibri"/>
          <w:b/>
          <w:sz w:val="20"/>
          <w:szCs w:val="20"/>
        </w:rPr>
        <w:t>чланови Одбора поверилаца да присуствују отварању понуда.</w:t>
      </w:r>
    </w:p>
    <w:p w:rsidR="002F6751" w:rsidRPr="00B54876" w:rsidRDefault="002F6751" w:rsidP="002F6751">
      <w:pPr>
        <w:spacing w:before="120"/>
        <w:jc w:val="both"/>
        <w:rPr>
          <w:rFonts w:asciiTheme="minorHAnsi" w:hAnsiTheme="minorHAnsi" w:cs="Arial"/>
          <w:b/>
          <w:bCs/>
          <w:sz w:val="20"/>
          <w:szCs w:val="20"/>
          <w:lang w:val="sr-Cyrl-CS"/>
        </w:rPr>
      </w:pPr>
      <w:r w:rsidRPr="00B54876">
        <w:rPr>
          <w:rFonts w:asciiTheme="minorHAnsi" w:hAnsiTheme="minorHAnsi" w:cs="Arial"/>
          <w:bCs/>
          <w:sz w:val="20"/>
          <w:szCs w:val="20"/>
          <w:lang w:val="ru-RU"/>
        </w:rPr>
        <w:t>Отварању понуда приступиће се и ако чланови одбора поверилаца или нико од понуђача не присуствује продаји.</w:t>
      </w:r>
    </w:p>
    <w:p w:rsidR="00824817" w:rsidRPr="00824817" w:rsidRDefault="00824817" w:rsidP="006D7DBE">
      <w:pPr>
        <w:tabs>
          <w:tab w:val="left" w:pos="1134"/>
        </w:tabs>
        <w:ind w:firstLine="1134"/>
        <w:rPr>
          <w:rFonts w:ascii="Calibri" w:hAnsi="Calibri"/>
          <w:b/>
          <w:sz w:val="20"/>
          <w:szCs w:val="20"/>
        </w:rPr>
      </w:pPr>
    </w:p>
    <w:p w:rsidR="006D7DBE" w:rsidRDefault="00824817" w:rsidP="006D7DBE">
      <w:pPr>
        <w:tabs>
          <w:tab w:val="left" w:pos="1134"/>
        </w:tabs>
        <w:ind w:firstLine="1134"/>
        <w:rPr>
          <w:rFonts w:asciiTheme="minorHAnsi" w:hAnsiTheme="minorHAnsi"/>
          <w:sz w:val="20"/>
          <w:szCs w:val="20"/>
          <w:lang w:val="sr-Cyrl-CS"/>
        </w:rPr>
      </w:pPr>
      <w:r w:rsidRPr="00824817">
        <w:rPr>
          <w:rFonts w:asciiTheme="minorHAnsi" w:hAnsiTheme="minorHAnsi"/>
          <w:sz w:val="20"/>
          <w:szCs w:val="20"/>
          <w:lang w:val="sr-Cyrl-CS"/>
        </w:rPr>
        <w:t xml:space="preserve">Стечајни управник </w:t>
      </w:r>
      <w:r w:rsidR="0001365A">
        <w:rPr>
          <w:rFonts w:asciiTheme="minorHAnsi" w:hAnsiTheme="minorHAnsi"/>
          <w:sz w:val="20"/>
          <w:szCs w:val="20"/>
          <w:lang w:val="sr-Cyrl-CS"/>
        </w:rPr>
        <w:t>или лице које он овласти,</w:t>
      </w:r>
      <w:r w:rsidR="00E00EBA">
        <w:rPr>
          <w:rFonts w:asciiTheme="minorHAnsi" w:hAnsiTheme="minorHAnsi"/>
          <w:sz w:val="20"/>
          <w:szCs w:val="20"/>
          <w:lang w:val="sr-Cyrl-CS"/>
        </w:rPr>
        <w:t>спроводи поступак</w:t>
      </w:r>
      <w:r w:rsidRPr="00824817">
        <w:rPr>
          <w:rFonts w:asciiTheme="minorHAnsi" w:hAnsiTheme="minorHAnsi"/>
          <w:sz w:val="20"/>
          <w:szCs w:val="20"/>
          <w:lang w:val="sr-Cyrl-CS"/>
        </w:rPr>
        <w:t xml:space="preserve"> тако што:</w:t>
      </w:r>
    </w:p>
    <w:p w:rsidR="002F6751" w:rsidRPr="00B54876" w:rsidRDefault="002F6751" w:rsidP="002F6751">
      <w:pPr>
        <w:jc w:val="both"/>
        <w:rPr>
          <w:rFonts w:asciiTheme="minorHAnsi" w:hAnsiTheme="minorHAnsi" w:cs="Arial"/>
          <w:sz w:val="20"/>
          <w:szCs w:val="20"/>
          <w:lang w:val="sr-Cyrl-CS"/>
        </w:rPr>
      </w:pPr>
    </w:p>
    <w:p w:rsidR="002F6751" w:rsidRPr="00B54876" w:rsidRDefault="002F6751" w:rsidP="002F6751">
      <w:pPr>
        <w:numPr>
          <w:ilvl w:val="0"/>
          <w:numId w:val="2"/>
        </w:numPr>
        <w:suppressAutoHyphens w:val="0"/>
        <w:jc w:val="both"/>
        <w:rPr>
          <w:rFonts w:asciiTheme="minorHAnsi" w:hAnsiTheme="minorHAnsi" w:cs="Arial"/>
          <w:sz w:val="20"/>
          <w:szCs w:val="20"/>
          <w:lang w:val="sr-Cyrl-CS"/>
        </w:rPr>
      </w:pPr>
      <w:r w:rsidRPr="00B54876">
        <w:rPr>
          <w:rFonts w:asciiTheme="minorHAnsi" w:hAnsiTheme="minorHAnsi" w:cs="Arial"/>
          <w:sz w:val="20"/>
          <w:szCs w:val="20"/>
          <w:lang w:val="sr-Cyrl-CS"/>
        </w:rPr>
        <w:t>чита правила у поступку јавног прикупљања понуда,</w:t>
      </w:r>
    </w:p>
    <w:p w:rsidR="002F6751" w:rsidRPr="00B54876" w:rsidRDefault="002F6751" w:rsidP="002F6751">
      <w:pPr>
        <w:numPr>
          <w:ilvl w:val="0"/>
          <w:numId w:val="2"/>
        </w:numPr>
        <w:suppressAutoHyphens w:val="0"/>
        <w:jc w:val="both"/>
        <w:rPr>
          <w:rFonts w:asciiTheme="minorHAnsi" w:hAnsiTheme="minorHAnsi" w:cs="Arial"/>
          <w:sz w:val="20"/>
          <w:szCs w:val="20"/>
          <w:lang w:val="sr-Cyrl-CS"/>
        </w:rPr>
      </w:pPr>
      <w:r w:rsidRPr="00B54876">
        <w:rPr>
          <w:rFonts w:asciiTheme="minorHAnsi" w:hAnsiTheme="minorHAnsi" w:cs="Arial"/>
          <w:sz w:val="20"/>
          <w:szCs w:val="20"/>
          <w:lang w:val="sr-Cyrl-CS"/>
        </w:rPr>
        <w:t>отвара достављене понуде,</w:t>
      </w:r>
    </w:p>
    <w:p w:rsidR="002F6751" w:rsidRPr="00B54876" w:rsidRDefault="002F6751" w:rsidP="002F6751">
      <w:pPr>
        <w:numPr>
          <w:ilvl w:val="0"/>
          <w:numId w:val="2"/>
        </w:numPr>
        <w:suppressAutoHyphens w:val="0"/>
        <w:jc w:val="both"/>
        <w:rPr>
          <w:rFonts w:asciiTheme="minorHAnsi" w:hAnsiTheme="minorHAnsi" w:cs="Arial"/>
          <w:sz w:val="20"/>
          <w:szCs w:val="20"/>
          <w:lang w:val="sr-Cyrl-CS"/>
        </w:rPr>
      </w:pPr>
      <w:r w:rsidRPr="00B54876">
        <w:rPr>
          <w:rFonts w:asciiTheme="minorHAnsi" w:hAnsiTheme="minorHAnsi" w:cs="Arial"/>
          <w:sz w:val="20"/>
          <w:szCs w:val="20"/>
          <w:lang w:val="sr-Cyrl-CS"/>
        </w:rPr>
        <w:t>рангира понуђаче према висини достављених понуда,</w:t>
      </w:r>
    </w:p>
    <w:p w:rsidR="002F6751" w:rsidRPr="00B54876" w:rsidRDefault="002F6751" w:rsidP="002F6751">
      <w:pPr>
        <w:numPr>
          <w:ilvl w:val="0"/>
          <w:numId w:val="2"/>
        </w:numPr>
        <w:suppressAutoHyphens w:val="0"/>
        <w:jc w:val="both"/>
        <w:rPr>
          <w:rFonts w:asciiTheme="minorHAnsi" w:hAnsiTheme="minorHAnsi" w:cs="Arial"/>
          <w:sz w:val="20"/>
          <w:szCs w:val="20"/>
          <w:lang w:val="sr-Cyrl-CS"/>
        </w:rPr>
      </w:pPr>
      <w:r w:rsidRPr="00B54876">
        <w:rPr>
          <w:rFonts w:asciiTheme="minorHAnsi" w:hAnsiTheme="minorHAnsi" w:cs="Arial"/>
          <w:sz w:val="20"/>
          <w:szCs w:val="20"/>
          <w:lang w:val="sr-Cyrl-CS"/>
        </w:rPr>
        <w:t>одржава ред на јавном прикупљању понуда,</w:t>
      </w:r>
    </w:p>
    <w:p w:rsidR="002F6751" w:rsidRPr="00B54876" w:rsidRDefault="002F6751" w:rsidP="002F6751">
      <w:pPr>
        <w:numPr>
          <w:ilvl w:val="0"/>
          <w:numId w:val="2"/>
        </w:numPr>
        <w:tabs>
          <w:tab w:val="clear" w:pos="720"/>
          <w:tab w:val="num" w:pos="426"/>
        </w:tabs>
        <w:suppressAutoHyphens w:val="0"/>
        <w:ind w:left="709"/>
        <w:jc w:val="both"/>
        <w:rPr>
          <w:rFonts w:asciiTheme="minorHAnsi" w:hAnsiTheme="minorHAnsi" w:cs="Arial"/>
          <w:sz w:val="20"/>
          <w:szCs w:val="20"/>
          <w:lang w:val="sr-Cyrl-CS"/>
        </w:rPr>
      </w:pPr>
      <w:r w:rsidRPr="00B54876">
        <w:rPr>
          <w:rFonts w:asciiTheme="minorHAnsi" w:hAnsiTheme="minorHAnsi" w:cs="Arial"/>
          <w:sz w:val="20"/>
          <w:szCs w:val="20"/>
          <w:lang w:val="sr-Cyrl-CS"/>
        </w:rPr>
        <w:t>проглашава најбољег понуђача за купца, уколико је највиша понуђена цена изнад 50% од процењене вредности предмета продаје,</w:t>
      </w:r>
    </w:p>
    <w:p w:rsidR="002F6751" w:rsidRPr="00B54876" w:rsidRDefault="002F6751" w:rsidP="002F6751">
      <w:pPr>
        <w:numPr>
          <w:ilvl w:val="0"/>
          <w:numId w:val="2"/>
        </w:numPr>
        <w:suppressAutoHyphens w:val="0"/>
        <w:ind w:left="709" w:hanging="349"/>
        <w:jc w:val="both"/>
        <w:rPr>
          <w:rFonts w:asciiTheme="minorHAnsi" w:hAnsiTheme="minorHAnsi" w:cs="Arial"/>
          <w:sz w:val="20"/>
          <w:szCs w:val="20"/>
          <w:lang w:val="sr-Cyrl-CS"/>
        </w:rPr>
      </w:pPr>
      <w:r w:rsidRPr="00B54876">
        <w:rPr>
          <w:rFonts w:asciiTheme="minorHAnsi" w:hAnsiTheme="minorHAnsi" w:cs="Arial"/>
          <w:sz w:val="20"/>
          <w:szCs w:val="20"/>
          <w:lang w:val="sr-Cyrl-CS"/>
        </w:rPr>
        <w:t>доставља понуду најбољег понуђача одбору поверилаца на изјашњење, уколико је иста нижа од 50% од процењене вредности предмета продаје,</w:t>
      </w:r>
    </w:p>
    <w:p w:rsidR="002F6751" w:rsidRPr="00B54876" w:rsidRDefault="002F6751" w:rsidP="002F6751">
      <w:pPr>
        <w:numPr>
          <w:ilvl w:val="0"/>
          <w:numId w:val="2"/>
        </w:numPr>
        <w:suppressAutoHyphens w:val="0"/>
        <w:jc w:val="both"/>
        <w:rPr>
          <w:rFonts w:asciiTheme="minorHAnsi" w:hAnsiTheme="minorHAnsi" w:cs="Arial"/>
          <w:sz w:val="20"/>
          <w:szCs w:val="20"/>
          <w:lang w:val="sr-Cyrl-CS"/>
        </w:rPr>
      </w:pPr>
      <w:r w:rsidRPr="00B54876">
        <w:rPr>
          <w:rFonts w:asciiTheme="minorHAnsi" w:hAnsiTheme="minorHAnsi" w:cs="Arial"/>
          <w:sz w:val="20"/>
          <w:szCs w:val="20"/>
          <w:lang w:val="sr-Cyrl-CS"/>
        </w:rPr>
        <w:t>потписује записник.</w:t>
      </w:r>
    </w:p>
    <w:p w:rsidR="002F6751" w:rsidRPr="00824817" w:rsidRDefault="002F6751" w:rsidP="006D7DBE">
      <w:pPr>
        <w:tabs>
          <w:tab w:val="left" w:pos="1134"/>
        </w:tabs>
        <w:ind w:firstLine="1134"/>
        <w:rPr>
          <w:rFonts w:asciiTheme="minorHAnsi" w:hAnsiTheme="minorHAnsi"/>
          <w:sz w:val="20"/>
          <w:szCs w:val="20"/>
          <w:lang w:val="sr-Cyrl-CS"/>
        </w:rPr>
      </w:pPr>
    </w:p>
    <w:p w:rsidR="00824817" w:rsidRDefault="00824817" w:rsidP="006D7DBE">
      <w:pPr>
        <w:tabs>
          <w:tab w:val="left" w:pos="1134"/>
        </w:tabs>
        <w:ind w:firstLine="1134"/>
        <w:rPr>
          <w:rFonts w:asciiTheme="minorHAnsi" w:hAnsiTheme="minorHAnsi"/>
          <w:sz w:val="20"/>
          <w:szCs w:val="20"/>
          <w:lang w:val="sr-Cyrl-CS"/>
        </w:rPr>
      </w:pPr>
      <w:r>
        <w:rPr>
          <w:rFonts w:asciiTheme="minorHAnsi" w:hAnsiTheme="minorHAnsi"/>
          <w:sz w:val="20"/>
          <w:szCs w:val="20"/>
          <w:lang w:val="sr-Cyrl-CS"/>
        </w:rPr>
        <w:t>У складу са националним стандардом бр.5,стечајни управник је дужан  да ако највиша достављена понуда износи мање од 50% процење</w:t>
      </w:r>
      <w:r w:rsidR="00AC6453">
        <w:rPr>
          <w:rFonts w:asciiTheme="minorHAnsi" w:hAnsiTheme="minorHAnsi"/>
          <w:sz w:val="20"/>
          <w:szCs w:val="20"/>
          <w:lang w:val="sr-Cyrl-CS"/>
        </w:rPr>
        <w:t>н</w:t>
      </w:r>
      <w:r>
        <w:rPr>
          <w:rFonts w:asciiTheme="minorHAnsi" w:hAnsiTheme="minorHAnsi"/>
          <w:sz w:val="20"/>
          <w:szCs w:val="20"/>
          <w:lang w:val="sr-Cyrl-CS"/>
        </w:rPr>
        <w:t>е вредности,пре прихватања такве понуде затражи сагласност Одбора поверилаца.</w:t>
      </w:r>
    </w:p>
    <w:p w:rsidR="002F6751" w:rsidRDefault="002F6751" w:rsidP="006D7DBE">
      <w:pPr>
        <w:tabs>
          <w:tab w:val="left" w:pos="1134"/>
        </w:tabs>
        <w:ind w:firstLine="1134"/>
        <w:rPr>
          <w:rFonts w:asciiTheme="minorHAnsi" w:hAnsiTheme="minorHAnsi"/>
          <w:sz w:val="20"/>
          <w:szCs w:val="20"/>
          <w:lang w:val="sr-Cyrl-CS"/>
        </w:rPr>
      </w:pPr>
    </w:p>
    <w:p w:rsidR="002F6751" w:rsidRPr="00B54876" w:rsidRDefault="002F6751" w:rsidP="002F6751">
      <w:pPr>
        <w:jc w:val="both"/>
        <w:rPr>
          <w:rFonts w:asciiTheme="minorHAnsi" w:hAnsiTheme="minorHAnsi" w:cs="Arial"/>
          <w:sz w:val="20"/>
          <w:szCs w:val="20"/>
          <w:lang w:val="sr-Cyrl-CS"/>
        </w:rPr>
      </w:pPr>
      <w:r w:rsidRPr="00B54876">
        <w:rPr>
          <w:rFonts w:asciiTheme="minorHAnsi" w:hAnsiTheme="minorHAnsi" w:cs="Arial"/>
          <w:sz w:val="20"/>
          <w:szCs w:val="20"/>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B54876">
        <w:rPr>
          <w:rFonts w:asciiTheme="minorHAnsi" w:hAnsiTheme="minorHAnsi" w:cs="Arial"/>
          <w:b/>
          <w:bCs/>
          <w:sz w:val="20"/>
          <w:szCs w:val="20"/>
          <w:lang w:val="sr-Cyrl-CS"/>
        </w:rPr>
        <w:t xml:space="preserve">2 радна дана </w:t>
      </w:r>
      <w:r w:rsidRPr="00B54876">
        <w:rPr>
          <w:rFonts w:asciiTheme="minorHAnsi" w:hAnsiTheme="minorHAnsi" w:cs="Arial"/>
          <w:sz w:val="20"/>
          <w:szCs w:val="20"/>
          <w:lang w:val="sr-Cyrl-CS"/>
        </w:rPr>
        <w:t>од дана пријема обавештења о прихватању понуде, након чега ће му бити враћена гаранција;</w:t>
      </w:r>
    </w:p>
    <w:p w:rsidR="002F6751" w:rsidRPr="00B54876" w:rsidRDefault="002F6751" w:rsidP="006D7DBE">
      <w:pPr>
        <w:tabs>
          <w:tab w:val="left" w:pos="1134"/>
        </w:tabs>
        <w:ind w:firstLine="1134"/>
        <w:rPr>
          <w:rFonts w:asciiTheme="minorHAnsi" w:hAnsiTheme="minorHAnsi"/>
          <w:sz w:val="20"/>
          <w:szCs w:val="20"/>
          <w:lang w:val="sr-Cyrl-CS"/>
        </w:rPr>
      </w:pPr>
    </w:p>
    <w:p w:rsidR="00824817" w:rsidRDefault="00824817" w:rsidP="006D7DBE">
      <w:pPr>
        <w:tabs>
          <w:tab w:val="left" w:pos="1134"/>
        </w:tabs>
        <w:ind w:firstLine="1134"/>
        <w:rPr>
          <w:rFonts w:asciiTheme="minorHAnsi" w:hAnsiTheme="minorHAnsi"/>
          <w:sz w:val="20"/>
          <w:szCs w:val="20"/>
          <w:lang w:val="sr-Cyrl-CS"/>
        </w:rPr>
      </w:pPr>
      <w:r>
        <w:rPr>
          <w:rFonts w:asciiTheme="minorHAnsi" w:hAnsiTheme="minorHAnsi"/>
          <w:sz w:val="20"/>
          <w:szCs w:val="20"/>
          <w:lang w:val="sr-Cyrl-CS"/>
        </w:rPr>
        <w:t>Стечајни управник ће свим понуђачима који су поднели  понуде послати обавештење о проглашеном и најуспешнијем понуђачу у року предвиђеним Националним стандардом бр.5.</w:t>
      </w:r>
    </w:p>
    <w:p w:rsidR="00824817" w:rsidRDefault="00824817" w:rsidP="006D7DBE">
      <w:pPr>
        <w:tabs>
          <w:tab w:val="left" w:pos="1134"/>
        </w:tabs>
        <w:ind w:firstLine="1134"/>
        <w:rPr>
          <w:rFonts w:asciiTheme="minorHAnsi" w:hAnsiTheme="minorHAnsi"/>
          <w:sz w:val="20"/>
          <w:szCs w:val="20"/>
          <w:lang w:val="sr-Cyrl-CS"/>
        </w:rPr>
      </w:pPr>
      <w:r>
        <w:rPr>
          <w:rFonts w:asciiTheme="minorHAnsi" w:hAnsiTheme="minorHAnsi"/>
          <w:sz w:val="20"/>
          <w:szCs w:val="20"/>
          <w:lang w:val="sr-Cyrl-CS"/>
        </w:rPr>
        <w:lastRenderedPageBreak/>
        <w:t xml:space="preserve">Купопродајни уговор се потписује у року од </w:t>
      </w:r>
      <w:r w:rsidRPr="00AC6453">
        <w:rPr>
          <w:rFonts w:asciiTheme="minorHAnsi" w:hAnsiTheme="minorHAnsi"/>
          <w:b/>
          <w:sz w:val="20"/>
          <w:szCs w:val="20"/>
          <w:lang w:val="sr-Cyrl-CS"/>
        </w:rPr>
        <w:t>3(три)радна</w:t>
      </w:r>
      <w:r>
        <w:rPr>
          <w:rFonts w:asciiTheme="minorHAnsi" w:hAnsiTheme="minorHAnsi"/>
          <w:sz w:val="20"/>
          <w:szCs w:val="20"/>
          <w:lang w:val="sr-Cyrl-CS"/>
        </w:rPr>
        <w:t xml:space="preserve"> </w:t>
      </w:r>
      <w:r w:rsidRPr="00AC6453">
        <w:rPr>
          <w:rFonts w:asciiTheme="minorHAnsi" w:hAnsiTheme="minorHAnsi"/>
          <w:b/>
          <w:sz w:val="20"/>
          <w:szCs w:val="20"/>
          <w:lang w:val="sr-Cyrl-CS"/>
        </w:rPr>
        <w:t>дана</w:t>
      </w:r>
      <w:r>
        <w:rPr>
          <w:rFonts w:asciiTheme="minorHAnsi" w:hAnsiTheme="minorHAnsi"/>
          <w:sz w:val="20"/>
          <w:szCs w:val="20"/>
          <w:lang w:val="sr-Cyrl-CS"/>
        </w:rPr>
        <w:t xml:space="preserve"> од дана </w:t>
      </w:r>
      <w:r w:rsidR="00B54876">
        <w:rPr>
          <w:rFonts w:asciiTheme="minorHAnsi" w:hAnsiTheme="minorHAnsi"/>
          <w:sz w:val="20"/>
          <w:szCs w:val="20"/>
          <w:lang w:val="sr-Cyrl-CS"/>
        </w:rPr>
        <w:t>отварања писмених понуда,под ус</w:t>
      </w:r>
      <w:r>
        <w:rPr>
          <w:rFonts w:asciiTheme="minorHAnsi" w:hAnsiTheme="minorHAnsi"/>
          <w:sz w:val="20"/>
          <w:szCs w:val="20"/>
          <w:lang w:val="sr-Cyrl-CS"/>
        </w:rPr>
        <w:t>ловом да је депозит који је обезбеђен гаранцијом уплаћен на рачун стечајног дужника.</w:t>
      </w:r>
    </w:p>
    <w:p w:rsidR="00824817" w:rsidRDefault="00824817" w:rsidP="006D7DBE">
      <w:pPr>
        <w:tabs>
          <w:tab w:val="left" w:pos="1134"/>
        </w:tabs>
        <w:ind w:firstLine="1134"/>
        <w:rPr>
          <w:rFonts w:asciiTheme="minorHAnsi" w:hAnsiTheme="minorHAnsi"/>
          <w:sz w:val="20"/>
          <w:szCs w:val="20"/>
          <w:lang w:val="sr-Cyrl-CS"/>
        </w:rPr>
      </w:pPr>
      <w:r>
        <w:rPr>
          <w:rFonts w:asciiTheme="minorHAnsi" w:hAnsiTheme="minorHAnsi"/>
          <w:sz w:val="20"/>
          <w:szCs w:val="20"/>
          <w:lang w:val="sr-Cyrl-CS"/>
        </w:rPr>
        <w:t xml:space="preserve">Проглашени купац је дужан да уплати преостали износ купопродајне цене у року од </w:t>
      </w:r>
      <w:r w:rsidR="00E00EBA">
        <w:rPr>
          <w:rFonts w:asciiTheme="minorHAnsi" w:hAnsiTheme="minorHAnsi"/>
          <w:b/>
          <w:sz w:val="20"/>
          <w:szCs w:val="20"/>
          <w:lang w:val="sr-Cyrl-CS"/>
        </w:rPr>
        <w:t>10</w:t>
      </w:r>
      <w:r w:rsidRPr="00AC6453">
        <w:rPr>
          <w:rFonts w:asciiTheme="minorHAnsi" w:hAnsiTheme="minorHAnsi"/>
          <w:b/>
          <w:sz w:val="20"/>
          <w:szCs w:val="20"/>
          <w:lang w:val="sr-Cyrl-CS"/>
        </w:rPr>
        <w:t xml:space="preserve"> дана</w:t>
      </w:r>
      <w:r>
        <w:rPr>
          <w:rFonts w:asciiTheme="minorHAnsi" w:hAnsiTheme="minorHAnsi"/>
          <w:sz w:val="20"/>
          <w:szCs w:val="20"/>
          <w:lang w:val="sr-Cyrl-CS"/>
        </w:rPr>
        <w:t xml:space="preserve"> од дана потписивања Уговора.Тек након уплате купопродајне цене и добијања пот</w:t>
      </w:r>
      <w:r w:rsidR="00E00EBA">
        <w:rPr>
          <w:rFonts w:asciiTheme="minorHAnsi" w:hAnsiTheme="minorHAnsi"/>
          <w:sz w:val="20"/>
          <w:szCs w:val="20"/>
          <w:lang w:val="sr-Cyrl-CS"/>
        </w:rPr>
        <w:t>врде од стране стечајног управника</w:t>
      </w:r>
      <w:r>
        <w:rPr>
          <w:rFonts w:asciiTheme="minorHAnsi" w:hAnsiTheme="minorHAnsi"/>
          <w:sz w:val="20"/>
          <w:szCs w:val="20"/>
          <w:lang w:val="sr-Cyrl-CS"/>
        </w:rPr>
        <w:t xml:space="preserve"> о извршеној уплати у целости,исти стиче право својине над предметом продаје.</w:t>
      </w:r>
    </w:p>
    <w:p w:rsidR="00824817" w:rsidRDefault="00824817" w:rsidP="006D7DBE">
      <w:pPr>
        <w:tabs>
          <w:tab w:val="left" w:pos="1134"/>
        </w:tabs>
        <w:ind w:firstLine="1134"/>
        <w:rPr>
          <w:rFonts w:asciiTheme="minorHAnsi" w:hAnsiTheme="minorHAnsi"/>
          <w:sz w:val="20"/>
          <w:szCs w:val="20"/>
          <w:lang w:val="sr-Cyrl-CS"/>
        </w:rPr>
      </w:pPr>
      <w:r>
        <w:rPr>
          <w:rFonts w:asciiTheme="minorHAnsi" w:hAnsiTheme="minorHAnsi"/>
          <w:sz w:val="20"/>
          <w:szCs w:val="20"/>
          <w:lang w:val="sr-Cyrl-CS"/>
        </w:rPr>
        <w:t>Ако проглашен купац не потпише записник,купопродајни уговор</w:t>
      </w:r>
      <w:r w:rsidR="00AC6453">
        <w:rPr>
          <w:rFonts w:asciiTheme="minorHAnsi" w:hAnsiTheme="minorHAnsi"/>
          <w:sz w:val="20"/>
          <w:szCs w:val="20"/>
          <w:lang w:val="sr-Cyrl-CS"/>
        </w:rPr>
        <w:t xml:space="preserve"> или не уплати купопродајну цену  у прописаним роковима и на прописан начин,као и у свим другим случајевима предвиђеним</w:t>
      </w:r>
      <w:r w:rsidR="005244C0">
        <w:rPr>
          <w:rFonts w:asciiTheme="minorHAnsi" w:hAnsiTheme="minorHAnsi"/>
          <w:sz w:val="20"/>
          <w:szCs w:val="20"/>
          <w:lang w:val="sr-Cyrl-CS"/>
        </w:rPr>
        <w:t xml:space="preserve"> </w:t>
      </w:r>
      <w:r w:rsidR="00AC6453">
        <w:rPr>
          <w:rFonts w:asciiTheme="minorHAnsi" w:hAnsiTheme="minorHAnsi"/>
          <w:sz w:val="20"/>
          <w:szCs w:val="20"/>
          <w:lang w:val="sr-Cyrl-CS"/>
        </w:rPr>
        <w:t>Изјавом о губитку  права на враћање депозита,губи право на повраћај депозита.</w:t>
      </w:r>
    </w:p>
    <w:p w:rsidR="00AC6453" w:rsidRDefault="00AC6453" w:rsidP="006D7DBE">
      <w:pPr>
        <w:tabs>
          <w:tab w:val="left" w:pos="1134"/>
        </w:tabs>
        <w:ind w:firstLine="1134"/>
        <w:rPr>
          <w:rFonts w:asciiTheme="minorHAnsi" w:hAnsiTheme="minorHAnsi"/>
          <w:sz w:val="20"/>
          <w:szCs w:val="20"/>
          <w:lang w:val="sr-Cyrl-CS"/>
        </w:rPr>
      </w:pPr>
      <w:r>
        <w:rPr>
          <w:rFonts w:asciiTheme="minorHAnsi" w:hAnsiTheme="minorHAnsi"/>
          <w:sz w:val="20"/>
          <w:szCs w:val="20"/>
          <w:lang w:val="sr-Cyrl-CS"/>
        </w:rPr>
        <w:t>Стечајни управник ће без одлагања вратити положени депозит/банкарску гаранцију сваком понуђачу чија понуда буде одбијена у року од 3 радна дана од дана одржавања јавног прикупљања понуда.</w:t>
      </w:r>
    </w:p>
    <w:p w:rsidR="002F6751" w:rsidRPr="00B54876" w:rsidRDefault="002F6751" w:rsidP="002F6751">
      <w:pPr>
        <w:jc w:val="both"/>
        <w:rPr>
          <w:rFonts w:asciiTheme="minorHAnsi" w:hAnsiTheme="minorHAnsi" w:cs="Arial"/>
          <w:sz w:val="20"/>
          <w:szCs w:val="20"/>
          <w:lang w:val="ru-RU"/>
        </w:rPr>
      </w:pPr>
      <w:r w:rsidRPr="00B54876">
        <w:rPr>
          <w:rFonts w:asciiTheme="minorHAnsi" w:hAnsiTheme="minorHAnsi" w:cs="Arial"/>
          <w:sz w:val="20"/>
          <w:szCs w:val="20"/>
          <w:lang w:val="sr-Cyrl-CS"/>
        </w:rPr>
        <w:t>Порези, таксе и накнаде за сачињавање уговора у законом прописаној форми, трошкови укњижбе, као и сви други трошкови који произлазе из предметне купопродаје, у целости сноси купац</w:t>
      </w:r>
      <w:r w:rsidR="00EC6731">
        <w:rPr>
          <w:rFonts w:asciiTheme="minorHAnsi" w:hAnsiTheme="minorHAnsi" w:cs="Arial"/>
          <w:sz w:val="20"/>
          <w:szCs w:val="20"/>
          <w:lang w:val="sr-Cyrl-CS"/>
        </w:rPr>
        <w:t>.</w:t>
      </w:r>
    </w:p>
    <w:p w:rsidR="002F6751" w:rsidRPr="00C46EC6" w:rsidRDefault="002F6751" w:rsidP="002F6751">
      <w:pPr>
        <w:jc w:val="both"/>
        <w:rPr>
          <w:rFonts w:ascii="Arial" w:hAnsi="Arial" w:cs="Arial"/>
          <w:sz w:val="20"/>
          <w:szCs w:val="20"/>
          <w:lang w:val="ru-RU"/>
        </w:rPr>
      </w:pPr>
      <w:r w:rsidRPr="00C46EC6">
        <w:rPr>
          <w:rFonts w:ascii="Arial" w:hAnsi="Arial" w:cs="Arial"/>
          <w:sz w:val="20"/>
          <w:szCs w:val="20"/>
          <w:lang w:val="sr-Cyrl-CS"/>
        </w:rPr>
        <w:t>.</w:t>
      </w:r>
    </w:p>
    <w:p w:rsidR="002F6751" w:rsidRDefault="002F6751" w:rsidP="006D7DBE">
      <w:pPr>
        <w:tabs>
          <w:tab w:val="left" w:pos="1134"/>
        </w:tabs>
        <w:ind w:firstLine="1134"/>
        <w:rPr>
          <w:rFonts w:asciiTheme="minorHAnsi" w:hAnsiTheme="minorHAnsi"/>
          <w:sz w:val="20"/>
          <w:szCs w:val="20"/>
          <w:lang w:val="sr-Cyrl-CS"/>
        </w:rPr>
      </w:pPr>
    </w:p>
    <w:p w:rsidR="00AC6453" w:rsidRPr="00AC6453" w:rsidRDefault="00AC6453" w:rsidP="00E00EBA">
      <w:pPr>
        <w:tabs>
          <w:tab w:val="left" w:pos="1134"/>
        </w:tabs>
        <w:rPr>
          <w:rFonts w:asciiTheme="minorHAnsi" w:hAnsiTheme="minorHAnsi"/>
          <w:b/>
          <w:sz w:val="20"/>
          <w:szCs w:val="20"/>
          <w:lang w:val="sr-Cyrl-CS"/>
        </w:rPr>
      </w:pPr>
      <w:r w:rsidRPr="00AC6453">
        <w:rPr>
          <w:rFonts w:asciiTheme="minorHAnsi" w:hAnsiTheme="minorHAnsi"/>
          <w:b/>
          <w:sz w:val="20"/>
          <w:szCs w:val="20"/>
          <w:lang w:val="sr-Cyrl-CS"/>
        </w:rPr>
        <w:t xml:space="preserve">Особа за </w:t>
      </w:r>
      <w:r w:rsidR="00E00EBA">
        <w:rPr>
          <w:rFonts w:asciiTheme="minorHAnsi" w:hAnsiTheme="minorHAnsi"/>
          <w:b/>
          <w:sz w:val="20"/>
          <w:szCs w:val="20"/>
          <w:lang w:val="sr-Cyrl-CS"/>
        </w:rPr>
        <w:t>контакт:</w:t>
      </w:r>
      <w:r w:rsidRPr="00AC6453">
        <w:rPr>
          <w:rFonts w:asciiTheme="minorHAnsi" w:hAnsiTheme="minorHAnsi"/>
          <w:b/>
          <w:sz w:val="20"/>
          <w:szCs w:val="20"/>
          <w:lang w:val="sr-Cyrl-CS"/>
        </w:rPr>
        <w:t xml:space="preserve"> Стечајни управник Љубиша Перовић,контакт телеф</w:t>
      </w:r>
      <w:r w:rsidR="00E00EBA">
        <w:rPr>
          <w:rFonts w:asciiTheme="minorHAnsi" w:hAnsiTheme="minorHAnsi"/>
          <w:b/>
          <w:sz w:val="20"/>
          <w:szCs w:val="20"/>
          <w:lang w:val="sr-Cyrl-CS"/>
        </w:rPr>
        <w:t>о</w:t>
      </w:r>
      <w:r w:rsidRPr="00AC6453">
        <w:rPr>
          <w:rFonts w:asciiTheme="minorHAnsi" w:hAnsiTheme="minorHAnsi"/>
          <w:b/>
          <w:sz w:val="20"/>
          <w:szCs w:val="20"/>
          <w:lang w:val="sr-Cyrl-CS"/>
        </w:rPr>
        <w:t>н 034/209-053</w:t>
      </w:r>
      <w:r w:rsidR="00E00EBA">
        <w:rPr>
          <w:rFonts w:asciiTheme="minorHAnsi" w:hAnsiTheme="minorHAnsi"/>
          <w:b/>
          <w:sz w:val="20"/>
          <w:szCs w:val="20"/>
          <w:lang w:val="sr-Cyrl-CS"/>
        </w:rPr>
        <w:t>,064/1440514</w:t>
      </w:r>
    </w:p>
    <w:p w:rsidR="00824817" w:rsidRPr="00AC6453" w:rsidRDefault="00824817" w:rsidP="006D7DBE">
      <w:pPr>
        <w:tabs>
          <w:tab w:val="left" w:pos="1134"/>
        </w:tabs>
        <w:ind w:firstLine="1134"/>
        <w:rPr>
          <w:rFonts w:asciiTheme="minorHAnsi" w:hAnsiTheme="minorHAnsi"/>
          <w:b/>
          <w:sz w:val="20"/>
          <w:szCs w:val="20"/>
          <w:lang w:val="sr-Cyrl-CS"/>
        </w:rPr>
      </w:pPr>
    </w:p>
    <w:p w:rsidR="006D7DBE" w:rsidRPr="00824817" w:rsidRDefault="006D7DBE">
      <w:pPr>
        <w:rPr>
          <w:b/>
        </w:rPr>
      </w:pPr>
    </w:p>
    <w:sectPr w:rsidR="006D7DBE" w:rsidRPr="00824817" w:rsidSect="00F368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A2B62"/>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370B4E8E"/>
    <w:multiLevelType w:val="hybridMultilevel"/>
    <w:tmpl w:val="5EEA9932"/>
    <w:lvl w:ilvl="0" w:tplc="A2366FBE">
      <w:start w:val="3"/>
      <w:numFmt w:val="decimal"/>
      <w:lvlText w:val="%1"/>
      <w:lvlJc w:val="left"/>
      <w:pPr>
        <w:ind w:left="720" w:hanging="360"/>
      </w:pPr>
      <w:rPr>
        <w:rFonts w:ascii="Calibri" w:hAnsi="Calibr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D7DBE"/>
    <w:rsid w:val="0001365A"/>
    <w:rsid w:val="000D057A"/>
    <w:rsid w:val="00182131"/>
    <w:rsid w:val="00291B95"/>
    <w:rsid w:val="002C3059"/>
    <w:rsid w:val="002F6751"/>
    <w:rsid w:val="00381833"/>
    <w:rsid w:val="005244C0"/>
    <w:rsid w:val="006361C7"/>
    <w:rsid w:val="0069114A"/>
    <w:rsid w:val="006A3F14"/>
    <w:rsid w:val="006D7DBE"/>
    <w:rsid w:val="00704D07"/>
    <w:rsid w:val="00754529"/>
    <w:rsid w:val="007C01AA"/>
    <w:rsid w:val="00824817"/>
    <w:rsid w:val="008E13D9"/>
    <w:rsid w:val="009337C4"/>
    <w:rsid w:val="00935CC2"/>
    <w:rsid w:val="009D03E3"/>
    <w:rsid w:val="009E0717"/>
    <w:rsid w:val="00A76BD9"/>
    <w:rsid w:val="00AC6453"/>
    <w:rsid w:val="00B0321C"/>
    <w:rsid w:val="00B54876"/>
    <w:rsid w:val="00C660FD"/>
    <w:rsid w:val="00DC0273"/>
    <w:rsid w:val="00E00EBA"/>
    <w:rsid w:val="00E21498"/>
    <w:rsid w:val="00E74D63"/>
    <w:rsid w:val="00EC6731"/>
    <w:rsid w:val="00F24C4F"/>
    <w:rsid w:val="00F30B4F"/>
    <w:rsid w:val="00F368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DBE"/>
    <w:pPr>
      <w:suppressAutoHyphens/>
      <w:spacing w:after="0" w:line="240" w:lineRule="auto"/>
    </w:pPr>
    <w:rPr>
      <w:rFonts w:ascii="Times New Roman" w:eastAsia="Times New Roman" w:hAnsi="Times New Roman" w:cs="Times New Roman"/>
      <w:sz w:val="24"/>
      <w:szCs w:val="24"/>
      <w:lang w:val="sr-Latn-C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D7DB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8E13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765162-A066-489F-883D-6DFCED060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1366</Words>
  <Characters>7787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6</cp:revision>
  <cp:lastPrinted>2015-07-05T06:07:00Z</cp:lastPrinted>
  <dcterms:created xsi:type="dcterms:W3CDTF">2015-07-04T08:22:00Z</dcterms:created>
  <dcterms:modified xsi:type="dcterms:W3CDTF">2015-07-24T07:22:00Z</dcterms:modified>
</cp:coreProperties>
</file>